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6F145" w14:textId="78CB8DB2" w:rsidR="007A1616" w:rsidRPr="00F542A0" w:rsidRDefault="007A1616" w:rsidP="007A1616">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#114</w:t>
      </w:r>
      <w:r w:rsidRPr="00F542A0">
        <w:rPr>
          <w:rFonts w:eastAsia="SimSun" w:cs="Arial"/>
          <w:sz w:val="24"/>
          <w:szCs w:val="24"/>
        </w:rPr>
        <w:tab/>
      </w:r>
      <w:r w:rsidR="008722C4" w:rsidRPr="008722C4">
        <w:rPr>
          <w:rFonts w:eastAsia="SimSun" w:cs="Arial"/>
          <w:sz w:val="24"/>
          <w:szCs w:val="24"/>
        </w:rPr>
        <w:t>R4-2500235</w:t>
      </w:r>
    </w:p>
    <w:p w14:paraId="0072CCF8" w14:textId="77777777" w:rsidR="007A1616" w:rsidRPr="00F542A0" w:rsidRDefault="007A1616" w:rsidP="007A1616">
      <w:pPr>
        <w:pStyle w:val="Header"/>
        <w:tabs>
          <w:tab w:val="right" w:pos="9781"/>
          <w:tab w:val="right" w:pos="13323"/>
        </w:tabs>
        <w:spacing w:before="60" w:after="60"/>
        <w:outlineLvl w:val="0"/>
        <w:rPr>
          <w:rFonts w:eastAsia="SimSun" w:cs="Arial"/>
          <w:b w:val="0"/>
          <w:sz w:val="24"/>
          <w:szCs w:val="24"/>
        </w:rPr>
      </w:pPr>
      <w:r w:rsidRPr="00F542A0">
        <w:rPr>
          <w:rFonts w:eastAsia="SimSun" w:cs="Arial" w:hint="eastAsia"/>
          <w:sz w:val="24"/>
          <w:szCs w:val="24"/>
        </w:rPr>
        <w:t>Athens</w:t>
      </w:r>
      <w:r w:rsidRPr="00F542A0">
        <w:rPr>
          <w:rFonts w:eastAsia="SimSun" w:cs="Arial"/>
          <w:sz w:val="24"/>
          <w:szCs w:val="24"/>
        </w:rPr>
        <w:t>, GR, 17</w:t>
      </w:r>
      <w:r w:rsidRPr="00F542A0">
        <w:rPr>
          <w:rFonts w:eastAsia="SimSun" w:cs="Arial"/>
          <w:sz w:val="24"/>
          <w:szCs w:val="24"/>
          <w:vertAlign w:val="superscript"/>
        </w:rPr>
        <w:t>th</w:t>
      </w:r>
      <w:r w:rsidRPr="00F542A0">
        <w:rPr>
          <w:rFonts w:eastAsia="SimSun" w:cs="Arial"/>
          <w:sz w:val="24"/>
          <w:szCs w:val="24"/>
        </w:rPr>
        <w:t xml:space="preserve"> – 21</w:t>
      </w:r>
      <w:r w:rsidRPr="00F542A0">
        <w:rPr>
          <w:rFonts w:eastAsia="SimSun" w:cs="Arial"/>
          <w:sz w:val="24"/>
          <w:szCs w:val="24"/>
          <w:vertAlign w:val="superscript"/>
        </w:rPr>
        <w:t>st</w:t>
      </w:r>
      <w:r w:rsidRPr="00F542A0">
        <w:rPr>
          <w:rFonts w:eastAsia="SimSun" w:cs="Arial"/>
          <w:sz w:val="24"/>
          <w:szCs w:val="24"/>
        </w:rPr>
        <w:t xml:space="preserve"> February, 2025</w:t>
      </w:r>
    </w:p>
    <w:p w14:paraId="23B9EC32" w14:textId="77777777" w:rsidR="006D1F2A" w:rsidRDefault="006D1F2A" w:rsidP="006D1F2A">
      <w:pPr>
        <w:tabs>
          <w:tab w:val="left" w:pos="1985"/>
        </w:tabs>
        <w:spacing w:after="120"/>
        <w:jc w:val="both"/>
        <w:rPr>
          <w:rFonts w:ascii="Arial" w:hAnsi="Arial" w:cs="Arial"/>
          <w:b/>
          <w:sz w:val="22"/>
          <w:szCs w:val="22"/>
        </w:rPr>
      </w:pPr>
    </w:p>
    <w:p w14:paraId="2EA70C06" w14:textId="4F669128" w:rsidR="006D1F2A" w:rsidRPr="00DE2285"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t>5.2</w:t>
      </w:r>
      <w:r w:rsidR="00354969">
        <w:rPr>
          <w:rFonts w:ascii="Arial" w:hAnsi="Arial" w:cs="Arial"/>
          <w:b/>
          <w:sz w:val="22"/>
          <w:szCs w:val="22"/>
        </w:rPr>
        <w:t>1</w:t>
      </w:r>
      <w:r>
        <w:rPr>
          <w:rFonts w:ascii="Arial" w:hAnsi="Arial" w:cs="Arial"/>
          <w:b/>
          <w:sz w:val="22"/>
          <w:szCs w:val="22"/>
        </w:rPr>
        <w:t>.</w:t>
      </w:r>
      <w:r w:rsidR="00354969">
        <w:rPr>
          <w:rFonts w:ascii="Arial" w:hAnsi="Arial" w:cs="Arial"/>
          <w:b/>
          <w:sz w:val="22"/>
          <w:szCs w:val="22"/>
        </w:rPr>
        <w:t>3</w:t>
      </w:r>
    </w:p>
    <w:p w14:paraId="598519CF" w14:textId="77777777" w:rsidR="006D1F2A" w:rsidRPr="0031288E" w:rsidRDefault="006D1F2A" w:rsidP="006D1F2A">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623BF14D" w14:textId="1A443C2A" w:rsidR="006D1F2A" w:rsidRPr="00662C95"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Pr="0074145B">
        <w:rPr>
          <w:rFonts w:ascii="Arial" w:hAnsi="Arial" w:cs="Arial"/>
          <w:b/>
          <w:sz w:val="22"/>
          <w:szCs w:val="22"/>
        </w:rPr>
        <w:t>On R18 NTN RRM core</w:t>
      </w:r>
      <w:r w:rsidR="00411F08">
        <w:rPr>
          <w:rFonts w:ascii="Arial" w:hAnsi="Arial" w:cs="Arial"/>
          <w:b/>
          <w:sz w:val="22"/>
          <w:szCs w:val="22"/>
        </w:rPr>
        <w:t xml:space="preserve"> and performance</w:t>
      </w:r>
      <w:r w:rsidRPr="0074145B">
        <w:rPr>
          <w:rFonts w:ascii="Arial" w:hAnsi="Arial" w:cs="Arial"/>
          <w:b/>
          <w:sz w:val="22"/>
          <w:szCs w:val="22"/>
        </w:rPr>
        <w:t xml:space="preserve"> requirement</w:t>
      </w:r>
      <w:r w:rsidR="00411F08">
        <w:rPr>
          <w:rFonts w:ascii="Arial" w:hAnsi="Arial" w:cs="Arial"/>
          <w:b/>
          <w:sz w:val="22"/>
          <w:szCs w:val="22"/>
        </w:rPr>
        <w:t xml:space="preserve"> maintenance</w:t>
      </w:r>
    </w:p>
    <w:p w14:paraId="30A50A10" w14:textId="77777777" w:rsidR="006D1F2A" w:rsidRPr="0031288E"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12242FBA" w:rsidR="00A74337" w:rsidRDefault="00756606" w:rsidP="00B324AA">
      <w:pPr>
        <w:spacing w:after="120"/>
        <w:jc w:val="both"/>
      </w:pPr>
      <w:r>
        <w:t>In last RAN4#</w:t>
      </w:r>
      <w:r w:rsidR="007A1616">
        <w:t>113</w:t>
      </w:r>
      <w:r>
        <w:t xml:space="preserve"> meeting, the WF for eNTN has been agreed in [1] and moderator has captured all open issues in the topic summary [2]</w:t>
      </w:r>
      <w:r>
        <w:rPr>
          <w:rFonts w:hint="eastAsia"/>
        </w:rPr>
        <w:t>.</w:t>
      </w:r>
      <w:r>
        <w:t xml:space="preserve"> There are still some opens issues for further discussion, and in this contribution, we continue the discussion on remaining </w:t>
      </w:r>
      <w:r w:rsidRPr="001B48E0">
        <w:t xml:space="preserve">RRM </w:t>
      </w:r>
      <w:r>
        <w:t>performance</w:t>
      </w:r>
      <w:r w:rsidRPr="001B48E0">
        <w:t xml:space="preserve"> requirements for </w:t>
      </w:r>
      <w:r>
        <w:t>eNTN.</w:t>
      </w:r>
    </w:p>
    <w:p w14:paraId="07FB8688" w14:textId="3ABE1455" w:rsidR="007A1616" w:rsidRPr="00EE14B6" w:rsidRDefault="007A1616" w:rsidP="00B324AA">
      <w:pPr>
        <w:spacing w:after="120"/>
        <w:jc w:val="both"/>
      </w:pPr>
      <w:r>
        <w:t>In addition</w:t>
      </w:r>
      <w:r w:rsidR="000F6303">
        <w:t>,</w:t>
      </w:r>
      <w:r>
        <w:t xml:space="preserve"> there is one in-coming LS from RAN2[3], </w:t>
      </w:r>
      <w:r w:rsidR="000F6303">
        <w:t xml:space="preserve">and we also discuss the </w:t>
      </w:r>
      <w:r w:rsidR="00BB7B8A">
        <w:t>potential reply LS to RAN2 in this paper.</w:t>
      </w:r>
    </w:p>
    <w:p w14:paraId="07EC5BC3" w14:textId="43272E69" w:rsidR="0087692F" w:rsidRDefault="00E93D52" w:rsidP="0087692F">
      <w:pPr>
        <w:pStyle w:val="Heading1"/>
        <w:numPr>
          <w:ilvl w:val="0"/>
          <w:numId w:val="10"/>
        </w:numPr>
        <w:pBdr>
          <w:top w:val="single" w:sz="12" w:space="2" w:color="auto"/>
        </w:pBdr>
        <w:jc w:val="both"/>
        <w:rPr>
          <w:sz w:val="32"/>
          <w:lang w:val="en-US"/>
        </w:rPr>
      </w:pPr>
      <w:r>
        <w:rPr>
          <w:sz w:val="32"/>
          <w:lang w:val="en-US"/>
        </w:rPr>
        <w:t xml:space="preserve">Discussion </w:t>
      </w:r>
      <w:r w:rsidR="00537816">
        <w:rPr>
          <w:sz w:val="32"/>
          <w:lang w:val="en-US"/>
        </w:rPr>
        <w:t>on Core part</w:t>
      </w:r>
      <w:r w:rsidR="00BB7B8A">
        <w:rPr>
          <w:sz w:val="32"/>
          <w:lang w:val="en-US"/>
        </w:rPr>
        <w:t xml:space="preserve"> maintenance</w:t>
      </w:r>
    </w:p>
    <w:p w14:paraId="1E7A08D6" w14:textId="77777777" w:rsidR="003F3C7D" w:rsidRDefault="003F3C7D" w:rsidP="003F3C7D">
      <w:pPr>
        <w:outlineLvl w:val="2"/>
        <w:rPr>
          <w:b/>
          <w:u w:val="single"/>
        </w:rPr>
      </w:pPr>
      <w:r>
        <w:rPr>
          <w:b/>
          <w:u w:val="single"/>
          <w:lang w:eastAsia="ko-KR"/>
        </w:rPr>
        <w:t>Issue 5-2</w:t>
      </w:r>
      <w:r w:rsidRPr="007A4D8D">
        <w:rPr>
          <w:b/>
          <w:u w:val="single"/>
          <w:lang w:eastAsia="ko-KR"/>
        </w:rPr>
        <w:t>-</w:t>
      </w:r>
      <w:r>
        <w:rPr>
          <w:b/>
          <w:u w:val="single"/>
          <w:lang w:eastAsia="ko-KR"/>
        </w:rPr>
        <w:t>S: Soft’ Satellite switch</w:t>
      </w:r>
    </w:p>
    <w:tbl>
      <w:tblPr>
        <w:tblStyle w:val="TableGrid"/>
        <w:tblW w:w="0" w:type="auto"/>
        <w:tblLook w:val="04A0" w:firstRow="1" w:lastRow="0" w:firstColumn="1" w:lastColumn="0" w:noHBand="0" w:noVBand="1"/>
      </w:tblPr>
      <w:tblGrid>
        <w:gridCol w:w="9730"/>
      </w:tblGrid>
      <w:tr w:rsidR="003F3C7D" w14:paraId="17F97C5F" w14:textId="77777777" w:rsidTr="003F3C7D">
        <w:tc>
          <w:tcPr>
            <w:tcW w:w="9730" w:type="dxa"/>
          </w:tcPr>
          <w:p w14:paraId="2F2AD64F" w14:textId="77777777" w:rsidR="007A1616" w:rsidRDefault="007A1616" w:rsidP="007A1616">
            <w:pPr>
              <w:snapToGrid w:val="0"/>
              <w:spacing w:after="120"/>
              <w:rPr>
                <w:lang w:eastAsia="ja-JP"/>
              </w:rPr>
            </w:pPr>
            <w:r w:rsidRPr="00AF5972">
              <w:rPr>
                <w:highlight w:val="yellow"/>
                <w:lang w:eastAsia="ja-JP"/>
              </w:rPr>
              <w:t>FFS:</w:t>
            </w:r>
          </w:p>
          <w:p w14:paraId="68AB8AD2" w14:textId="4837FE73" w:rsidR="003F3C7D" w:rsidRPr="003F3C7D" w:rsidRDefault="007A1616" w:rsidP="007A1616">
            <w:pPr>
              <w:pStyle w:val="ListParagraph"/>
              <w:widowControl/>
              <w:numPr>
                <w:ilvl w:val="0"/>
                <w:numId w:val="45"/>
              </w:numPr>
              <w:snapToGrid w:val="0"/>
              <w:spacing w:before="0" w:beforeAutospacing="0" w:after="120" w:line="240" w:lineRule="auto"/>
              <w:ind w:left="644" w:firstLineChars="0"/>
              <w:textAlignment w:val="auto"/>
              <w:rPr>
                <w:lang w:eastAsia="ja-JP"/>
              </w:rPr>
            </w:pPr>
            <w:r w:rsidRPr="00AF5972">
              <w:rPr>
                <w:lang w:eastAsia="ja-JP"/>
              </w:rPr>
              <w:t>A UE that supports soft satellite switching shall mandatorily support parallelMeasurementWithoutRestriction-r17.</w:t>
            </w:r>
          </w:p>
        </w:tc>
      </w:tr>
    </w:tbl>
    <w:p w14:paraId="6F18CF89" w14:textId="77777777" w:rsidR="003F3C7D" w:rsidRDefault="003F3C7D" w:rsidP="003F3C7D">
      <w:pPr>
        <w:jc w:val="both"/>
        <w:rPr>
          <w:bCs/>
          <w:lang w:eastAsia="ko-KR"/>
        </w:rPr>
      </w:pPr>
      <w:r>
        <w:rPr>
          <w:bCs/>
          <w:lang w:eastAsia="ko-KR"/>
        </w:rPr>
        <w:t xml:space="preserve">How to optimize the scheduling restriction is not fully concluded yet as highlighted in </w:t>
      </w:r>
      <w:r w:rsidRPr="00503CC5">
        <w:rPr>
          <w:bCs/>
          <w:highlight w:val="yellow"/>
          <w:lang w:eastAsia="ko-KR"/>
        </w:rPr>
        <w:t>yellow</w:t>
      </w:r>
      <w:r>
        <w:rPr>
          <w:bCs/>
          <w:lang w:eastAsia="ko-KR"/>
        </w:rPr>
        <w:t xml:space="preserve"> above. </w:t>
      </w:r>
      <w:r w:rsidRPr="002D5C49">
        <w:rPr>
          <w:bCs/>
          <w:lang w:eastAsia="ko-KR"/>
        </w:rPr>
        <w:t xml:space="preserve">In </w:t>
      </w:r>
      <w:r>
        <w:rPr>
          <w:bCs/>
          <w:lang w:eastAsia="ko-KR"/>
        </w:rPr>
        <w:t>previous</w:t>
      </w:r>
      <w:r w:rsidRPr="002D5C49">
        <w:rPr>
          <w:bCs/>
          <w:lang w:eastAsia="ko-KR"/>
        </w:rPr>
        <w:t xml:space="preserve"> meeting, some companies proposed to use PDD measurement/report to </w:t>
      </w:r>
      <w:r>
        <w:rPr>
          <w:bCs/>
          <w:lang w:eastAsia="ko-KR"/>
        </w:rPr>
        <w:t xml:space="preserve">enhance the </w:t>
      </w:r>
      <w:r w:rsidRPr="002D5C49">
        <w:rPr>
          <w:bCs/>
          <w:lang w:eastAsia="ko-KR"/>
        </w:rPr>
        <w:t>scheduling restriction</w:t>
      </w:r>
      <w:r>
        <w:rPr>
          <w:bCs/>
          <w:lang w:eastAsia="ko-KR"/>
        </w:rPr>
        <w:t xml:space="preserve"> during the soft satellite switch. However, RAN2 had following agreements that,</w:t>
      </w:r>
    </w:p>
    <w:tbl>
      <w:tblPr>
        <w:tblStyle w:val="TableGrid"/>
        <w:tblW w:w="0" w:type="auto"/>
        <w:tblLook w:val="04A0" w:firstRow="1" w:lastRow="0" w:firstColumn="1" w:lastColumn="0" w:noHBand="0" w:noVBand="1"/>
      </w:tblPr>
      <w:tblGrid>
        <w:gridCol w:w="9629"/>
      </w:tblGrid>
      <w:tr w:rsidR="003F3C7D" w14:paraId="1B8CBC2D" w14:textId="77777777" w:rsidTr="005D5AD7">
        <w:tc>
          <w:tcPr>
            <w:tcW w:w="9629" w:type="dxa"/>
          </w:tcPr>
          <w:p w14:paraId="25DEBBCC" w14:textId="77777777" w:rsidR="003F3C7D" w:rsidRPr="00115B58" w:rsidRDefault="003F3C7D" w:rsidP="005D5AD7">
            <w:pPr>
              <w:rPr>
                <w:sz w:val="20"/>
                <w:szCs w:val="20"/>
                <w:lang w:val="en-GB" w:eastAsia="en-GB"/>
              </w:rPr>
            </w:pPr>
            <w:r>
              <w:rPr>
                <w:sz w:val="20"/>
                <w:szCs w:val="20"/>
                <w:lang w:val="en-GB" w:eastAsia="en-GB"/>
              </w:rPr>
              <w:t xml:space="preserve">3.  </w:t>
            </w:r>
            <w:r w:rsidRPr="00115B58">
              <w:rPr>
                <w:sz w:val="20"/>
                <w:szCs w:val="20"/>
                <w:lang w:val="en-GB" w:eastAsia="en-GB"/>
              </w:rPr>
              <w:t xml:space="preserve">We don’t introduce the support for configuring and reporting measurements on the target cell (from target satellite) in the soft switch case </w:t>
            </w:r>
          </w:p>
          <w:p w14:paraId="6CD752B4" w14:textId="77777777" w:rsidR="003F3C7D" w:rsidRPr="002D5C49" w:rsidRDefault="003F3C7D" w:rsidP="005D5AD7">
            <w:pPr>
              <w:rPr>
                <w:sz w:val="20"/>
                <w:szCs w:val="20"/>
                <w:lang w:val="en-GB" w:eastAsia="en-GB"/>
              </w:rPr>
            </w:pPr>
            <w:r w:rsidRPr="00115B58">
              <w:rPr>
                <w:sz w:val="20"/>
                <w:szCs w:val="20"/>
                <w:lang w:val="en-GB" w:eastAsia="en-GB"/>
              </w:rPr>
              <w:t>4.</w:t>
            </w:r>
            <w:r w:rsidRPr="00115B58">
              <w:rPr>
                <w:sz w:val="20"/>
                <w:szCs w:val="20"/>
                <w:lang w:val="en-GB" w:eastAsia="en-GB"/>
              </w:rPr>
              <w:tab/>
            </w:r>
            <w:r w:rsidRPr="00115B58">
              <w:rPr>
                <w:sz w:val="20"/>
                <w:szCs w:val="20"/>
                <w:highlight w:val="yellow"/>
                <w:lang w:val="en-GB" w:eastAsia="en-GB"/>
              </w:rPr>
              <w:t>RAN2 understands that the NW is not expected to configure PDD reporting between serving and target satellites involved in the satellite switch</w:t>
            </w:r>
          </w:p>
        </w:tc>
      </w:tr>
    </w:tbl>
    <w:p w14:paraId="011BDCB3" w14:textId="3A0037D2" w:rsidR="003F3C7D" w:rsidRDefault="003F3C7D" w:rsidP="003F3C7D">
      <w:pPr>
        <w:jc w:val="both"/>
        <w:rPr>
          <w:bCs/>
          <w:lang w:eastAsia="ko-KR"/>
        </w:rPr>
      </w:pPr>
      <w:r>
        <w:rPr>
          <w:bCs/>
          <w:lang w:eastAsia="ko-KR"/>
        </w:rPr>
        <w:t xml:space="preserve">In addition, </w:t>
      </w:r>
      <w:r w:rsidRPr="00AC006C">
        <w:rPr>
          <w:bCs/>
          <w:lang w:eastAsia="ko-KR"/>
        </w:rPr>
        <w:t xml:space="preserve">when to start target satellite synchronization is up to UE implementation, even though network can </w:t>
      </w:r>
      <w:r>
        <w:rPr>
          <w:bCs/>
          <w:lang w:eastAsia="ko-KR"/>
        </w:rPr>
        <w:t xml:space="preserve">somehow </w:t>
      </w:r>
      <w:r w:rsidRPr="00AC006C">
        <w:rPr>
          <w:bCs/>
          <w:lang w:eastAsia="ko-KR"/>
        </w:rPr>
        <w:t>know the time location of received target SAT’s SSB occasion at UE, network may still need to apply scheduling restriction on all possible SSB occasions, therefore PDD reporting benefit is very limited</w:t>
      </w:r>
      <w:r>
        <w:rPr>
          <w:bCs/>
          <w:lang w:eastAsia="ko-KR"/>
        </w:rPr>
        <w:t xml:space="preserve">. So RAN4 shall not consider PDD reporting </w:t>
      </w:r>
      <w:r w:rsidRPr="002D5C49">
        <w:rPr>
          <w:bCs/>
          <w:lang w:eastAsia="ko-KR"/>
        </w:rPr>
        <w:t>between serving and target satellites involved in the satellite switch</w:t>
      </w:r>
      <w:r>
        <w:rPr>
          <w:bCs/>
          <w:lang w:eastAsia="ko-KR"/>
        </w:rPr>
        <w:t xml:space="preserve">. Regarding the scheduling restriction itself, if UE </w:t>
      </w:r>
      <w:r w:rsidRPr="002D5C49">
        <w:rPr>
          <w:bCs/>
          <w:lang w:eastAsia="ko-KR"/>
        </w:rPr>
        <w:t xml:space="preserve">is not capable of </w:t>
      </w:r>
      <w:r w:rsidRPr="002D5C49">
        <w:rPr>
          <w:bCs/>
          <w:i/>
          <w:iCs/>
          <w:lang w:eastAsia="ko-KR"/>
        </w:rPr>
        <w:t>parallelMeasurementWithoutRestriction-r17</w:t>
      </w:r>
      <w:r>
        <w:rPr>
          <w:bCs/>
          <w:lang w:eastAsia="ko-KR"/>
        </w:rPr>
        <w:t xml:space="preserve">, network can still configure hard satellite switching for simplicity, and it can always be alternative for these special cases. From UE capability perspective, our understanding is: </w:t>
      </w:r>
      <w:r w:rsidRPr="00AC006C">
        <w:rPr>
          <w:bCs/>
          <w:lang w:eastAsia="ko-KR"/>
        </w:rPr>
        <w:t>If UE indicates to support soft satellite switching without PCI change, it</w:t>
      </w:r>
      <w:r>
        <w:rPr>
          <w:bCs/>
          <w:lang w:eastAsia="ko-KR"/>
        </w:rPr>
        <w:t xml:space="preserve"> would be typical for UE also to </w:t>
      </w:r>
      <w:r w:rsidRPr="00AC006C">
        <w:rPr>
          <w:bCs/>
          <w:lang w:eastAsia="ko-KR"/>
        </w:rPr>
        <w:t>indicate to support parallelMeasurementWithoutRestriction-r17 as well</w:t>
      </w:r>
      <w:r>
        <w:rPr>
          <w:bCs/>
          <w:lang w:eastAsia="ko-KR"/>
        </w:rPr>
        <w:t xml:space="preserve">. And </w:t>
      </w:r>
      <w:r>
        <w:rPr>
          <w:bCs/>
          <w:lang w:eastAsia="ko-KR"/>
        </w:rPr>
        <w:lastRenderedPageBreak/>
        <w:t>in this case, then n</w:t>
      </w:r>
      <w:r w:rsidRPr="00AC006C">
        <w:rPr>
          <w:bCs/>
          <w:lang w:eastAsia="ko-KR"/>
        </w:rPr>
        <w:t>o scheduling restriction will be applied during the time period of [t-serviceStart, t-Service] during the soft satellite switching</w:t>
      </w:r>
      <w:r>
        <w:rPr>
          <w:bCs/>
          <w:lang w:eastAsia="ko-KR"/>
        </w:rPr>
        <w:t>.</w:t>
      </w:r>
    </w:p>
    <w:p w14:paraId="6880C97E" w14:textId="70D517D5" w:rsidR="003F3C7D" w:rsidRDefault="003F3C7D" w:rsidP="003F3C7D">
      <w:pPr>
        <w:spacing w:before="0" w:beforeAutospacing="0" w:after="120"/>
        <w:jc w:val="both"/>
        <w:rPr>
          <w:b/>
          <w:bCs/>
          <w:i/>
          <w:color w:val="000000" w:themeColor="text1"/>
        </w:rPr>
      </w:pPr>
      <w:r>
        <w:rPr>
          <w:b/>
          <w:bCs/>
          <w:i/>
          <w:color w:val="000000" w:themeColor="text1"/>
        </w:rPr>
        <w:t xml:space="preserve">Proposal </w:t>
      </w:r>
      <w:r w:rsidR="007A1616">
        <w:rPr>
          <w:b/>
          <w:bCs/>
          <w:i/>
          <w:color w:val="000000" w:themeColor="text1"/>
        </w:rPr>
        <w:t>1</w:t>
      </w:r>
      <w:r>
        <w:rPr>
          <w:b/>
          <w:bCs/>
          <w:i/>
          <w:color w:val="000000" w:themeColor="text1"/>
        </w:rPr>
        <w:t xml:space="preserve">: to enhance scheduling restriction in soft satellite switching, consider modifying the capability rule such that: if </w:t>
      </w:r>
      <w:r w:rsidRPr="00AC006C">
        <w:rPr>
          <w:b/>
          <w:bCs/>
          <w:i/>
          <w:color w:val="000000" w:themeColor="text1"/>
        </w:rPr>
        <w:t xml:space="preserve">UE indicates to support soft satellite switching without PCI change, it also </w:t>
      </w:r>
      <w:r>
        <w:rPr>
          <w:b/>
          <w:bCs/>
          <w:i/>
          <w:color w:val="000000" w:themeColor="text1"/>
        </w:rPr>
        <w:t>means</w:t>
      </w:r>
      <w:r w:rsidRPr="00AC006C">
        <w:rPr>
          <w:b/>
          <w:bCs/>
          <w:i/>
          <w:color w:val="000000" w:themeColor="text1"/>
        </w:rPr>
        <w:t xml:space="preserve"> UE support</w:t>
      </w:r>
      <w:r>
        <w:rPr>
          <w:b/>
          <w:bCs/>
          <w:i/>
          <w:color w:val="000000" w:themeColor="text1"/>
        </w:rPr>
        <w:t>s</w:t>
      </w:r>
      <w:r w:rsidRPr="00AC006C">
        <w:rPr>
          <w:b/>
          <w:bCs/>
          <w:i/>
          <w:color w:val="000000" w:themeColor="text1"/>
        </w:rPr>
        <w:t xml:space="preserve"> parallelMeasurementWithoutRestriction-r17</w:t>
      </w:r>
      <w:r>
        <w:rPr>
          <w:b/>
          <w:bCs/>
          <w:i/>
          <w:color w:val="000000" w:themeColor="text1"/>
        </w:rPr>
        <w:t>.</w:t>
      </w:r>
    </w:p>
    <w:p w14:paraId="1A1403EF" w14:textId="40FFBF89" w:rsidR="00537816" w:rsidRDefault="00BB7B8A" w:rsidP="00537816">
      <w:pPr>
        <w:pStyle w:val="Heading1"/>
        <w:numPr>
          <w:ilvl w:val="0"/>
          <w:numId w:val="10"/>
        </w:numPr>
        <w:pBdr>
          <w:top w:val="single" w:sz="12" w:space="2" w:color="auto"/>
        </w:pBdr>
        <w:jc w:val="both"/>
        <w:rPr>
          <w:sz w:val="32"/>
          <w:lang w:val="en-US"/>
        </w:rPr>
      </w:pPr>
      <w:r>
        <w:rPr>
          <w:sz w:val="32"/>
          <w:lang w:val="en-US"/>
        </w:rPr>
        <w:t xml:space="preserve">Discussion on </w:t>
      </w:r>
      <w:r w:rsidR="00023463">
        <w:rPr>
          <w:sz w:val="32"/>
          <w:lang w:val="en-US"/>
        </w:rPr>
        <w:t>LS</w:t>
      </w:r>
      <w:r>
        <w:rPr>
          <w:sz w:val="32"/>
          <w:lang w:val="en-US"/>
        </w:rPr>
        <w:t>[3] from RAN2</w:t>
      </w:r>
    </w:p>
    <w:p w14:paraId="369FB62B" w14:textId="4DA304FA" w:rsidR="00044F13" w:rsidRDefault="00BB7B8A" w:rsidP="00AD4E30">
      <w:pPr>
        <w:spacing w:before="0" w:beforeAutospacing="0"/>
        <w:jc w:val="both"/>
      </w:pPr>
      <w:r>
        <w:rPr>
          <w:lang w:val="en-GB" w:eastAsia="x-none"/>
        </w:rPr>
        <w:t>RAN4 received one LS[3] from RAN2, and the text is duplicated below</w:t>
      </w:r>
      <w:r>
        <w:t>,</w:t>
      </w:r>
    </w:p>
    <w:tbl>
      <w:tblPr>
        <w:tblStyle w:val="TableGrid"/>
        <w:tblW w:w="0" w:type="auto"/>
        <w:tblLook w:val="04A0" w:firstRow="1" w:lastRow="0" w:firstColumn="1" w:lastColumn="0" w:noHBand="0" w:noVBand="1"/>
      </w:tblPr>
      <w:tblGrid>
        <w:gridCol w:w="9730"/>
      </w:tblGrid>
      <w:tr w:rsidR="00BB7B8A" w14:paraId="4D5FF2FF" w14:textId="77777777" w:rsidTr="00BB7B8A">
        <w:tc>
          <w:tcPr>
            <w:tcW w:w="9730" w:type="dxa"/>
          </w:tcPr>
          <w:p w14:paraId="1B5E3AD3" w14:textId="77777777" w:rsidR="00BB7B8A" w:rsidRPr="00BB7B8A" w:rsidRDefault="00BB7B8A" w:rsidP="00BB7B8A">
            <w:pPr>
              <w:spacing w:before="0" w:beforeAutospacing="0" w:after="0"/>
              <w:outlineLvl w:val="0"/>
              <w:rPr>
                <w:rFonts w:ascii="Arial" w:hAnsi="Arial" w:cs="Arial"/>
                <w:b/>
                <w:sz w:val="20"/>
                <w:szCs w:val="20"/>
              </w:rPr>
            </w:pPr>
            <w:r w:rsidRPr="00BB7B8A">
              <w:rPr>
                <w:rFonts w:ascii="Arial" w:hAnsi="Arial" w:cs="Arial"/>
                <w:b/>
                <w:sz w:val="20"/>
                <w:szCs w:val="20"/>
              </w:rPr>
              <w:t>1. Overall Description:</w:t>
            </w:r>
          </w:p>
          <w:p w14:paraId="09036974" w14:textId="77777777" w:rsidR="00BB7B8A" w:rsidRPr="00BB7B8A" w:rsidRDefault="00BB7B8A" w:rsidP="00BB7B8A">
            <w:pPr>
              <w:pStyle w:val="Header"/>
              <w:tabs>
                <w:tab w:val="center" w:pos="4153"/>
                <w:tab w:val="right" w:pos="8306"/>
              </w:tabs>
              <w:spacing w:after="0"/>
              <w:rPr>
                <w:rFonts w:eastAsiaTheme="minorEastAsia" w:cs="Arial"/>
                <w:b w:val="0"/>
                <w:sz w:val="20"/>
              </w:rPr>
            </w:pPr>
          </w:p>
          <w:p w14:paraId="62F12E7A" w14:textId="77777777" w:rsidR="00BB7B8A" w:rsidRPr="00BB7B8A" w:rsidRDefault="00BB7B8A" w:rsidP="00BB7B8A">
            <w:pPr>
              <w:pStyle w:val="Header"/>
              <w:tabs>
                <w:tab w:val="center" w:pos="4153"/>
                <w:tab w:val="right" w:pos="8306"/>
              </w:tabs>
              <w:spacing w:after="0"/>
              <w:rPr>
                <w:rFonts w:eastAsiaTheme="minorEastAsia" w:cs="Arial"/>
                <w:b w:val="0"/>
                <w:sz w:val="20"/>
              </w:rPr>
            </w:pPr>
            <w:r w:rsidRPr="00BB7B8A">
              <w:rPr>
                <w:rFonts w:eastAsiaTheme="minorEastAsia" w:cs="Arial"/>
                <w:b w:val="0"/>
                <w:sz w:val="20"/>
              </w:rPr>
              <w:t>For soft satellite switching with re-synchronization, to ensure non-colliding SSB with same PCI at the UE side, RAN2 has discussed one possible solution to introduce a temporarily shifted SSB pattern during [t-ServiceStart, t-Service].</w:t>
            </w:r>
            <w:r w:rsidRPr="00BB7B8A">
              <w:rPr>
                <w:rFonts w:eastAsiaTheme="minorEastAsia" w:cs="Arial" w:hint="eastAsia"/>
                <w:b w:val="0"/>
                <w:sz w:val="20"/>
              </w:rPr>
              <w:t xml:space="preserve"> </w:t>
            </w:r>
            <w:r w:rsidRPr="00BB7B8A">
              <w:rPr>
                <w:rFonts w:eastAsiaTheme="minorEastAsia" w:cs="Arial"/>
                <w:b w:val="0"/>
                <w:sz w:val="20"/>
              </w:rPr>
              <w:t>To be specific, the target satellite transmits SSB during [t-ServiceStart, t-Service] which is not overlapping with SSB from the source satellite. At t-Service, the new serving satellite SSB pattern (e.g., SSB offset) is restored to the same as the previous source satellite.</w:t>
            </w:r>
          </w:p>
          <w:p w14:paraId="5990E605" w14:textId="77777777" w:rsidR="00BB7B8A" w:rsidRPr="00BB7B8A" w:rsidRDefault="00BB7B8A" w:rsidP="00BB7B8A">
            <w:pPr>
              <w:pStyle w:val="Header"/>
              <w:tabs>
                <w:tab w:val="center" w:pos="4153"/>
                <w:tab w:val="right" w:pos="8306"/>
              </w:tabs>
              <w:spacing w:after="0"/>
              <w:rPr>
                <w:rFonts w:eastAsiaTheme="minorEastAsia" w:cs="Arial"/>
                <w:b w:val="0"/>
                <w:sz w:val="20"/>
              </w:rPr>
            </w:pPr>
          </w:p>
          <w:p w14:paraId="26D536A5" w14:textId="77777777" w:rsidR="00BB7B8A" w:rsidRPr="00BB7B8A" w:rsidRDefault="00BB7B8A" w:rsidP="00BB7B8A">
            <w:pPr>
              <w:spacing w:before="0" w:beforeAutospacing="0" w:after="0"/>
              <w:jc w:val="both"/>
              <w:rPr>
                <w:rFonts w:ascii="Arial" w:eastAsiaTheme="minorEastAsia" w:hAnsi="Arial" w:cs="Arial"/>
                <w:bCs/>
                <w:sz w:val="20"/>
                <w:szCs w:val="20"/>
              </w:rPr>
            </w:pPr>
            <w:r w:rsidRPr="00BB7B8A">
              <w:rPr>
                <w:rFonts w:ascii="Arial" w:eastAsiaTheme="minorEastAsia" w:hAnsi="Arial" w:cs="Arial"/>
                <w:bCs/>
                <w:sz w:val="20"/>
                <w:szCs w:val="20"/>
              </w:rPr>
              <w:t>RAN2 wonders whether the pre-acquired DL synchronization started between [t-ServiceStart, t-Service] with target satellite can be assumed as maintained if the SSB pattern (e.g., SSB offset) is changed (determined by ssb-TimeOffset) at t-Service.</w:t>
            </w:r>
          </w:p>
          <w:p w14:paraId="5C9E0FD6" w14:textId="77777777" w:rsidR="00BB7B8A" w:rsidRPr="00BB7B8A" w:rsidRDefault="00BB7B8A" w:rsidP="00BB7B8A">
            <w:pPr>
              <w:pStyle w:val="Header"/>
              <w:tabs>
                <w:tab w:val="center" w:pos="4153"/>
                <w:tab w:val="right" w:pos="8306"/>
              </w:tabs>
              <w:spacing w:after="0"/>
              <w:jc w:val="both"/>
              <w:rPr>
                <w:rFonts w:cs="Arial"/>
                <w:b w:val="0"/>
                <w:sz w:val="20"/>
              </w:rPr>
            </w:pPr>
          </w:p>
          <w:p w14:paraId="36D271EA" w14:textId="77777777" w:rsidR="00BB7B8A" w:rsidRPr="00BB7B8A" w:rsidRDefault="00BB7B8A" w:rsidP="00BB7B8A">
            <w:pPr>
              <w:spacing w:before="0" w:beforeAutospacing="0" w:after="0"/>
              <w:outlineLvl w:val="0"/>
              <w:rPr>
                <w:rFonts w:ascii="Arial" w:hAnsi="Arial" w:cs="Arial"/>
                <w:b/>
                <w:sz w:val="20"/>
                <w:szCs w:val="20"/>
              </w:rPr>
            </w:pPr>
            <w:r w:rsidRPr="00BB7B8A">
              <w:rPr>
                <w:rFonts w:ascii="Arial" w:hAnsi="Arial" w:cs="Arial"/>
                <w:b/>
                <w:sz w:val="20"/>
                <w:szCs w:val="20"/>
              </w:rPr>
              <w:t>2. Actions:</w:t>
            </w:r>
          </w:p>
          <w:p w14:paraId="4268EA6F" w14:textId="77777777" w:rsidR="00BB7B8A" w:rsidRPr="00BB7B8A" w:rsidRDefault="00BB7B8A" w:rsidP="00BB7B8A">
            <w:pPr>
              <w:spacing w:before="0" w:beforeAutospacing="0" w:after="0"/>
              <w:ind w:left="1985" w:hanging="1985"/>
              <w:rPr>
                <w:rFonts w:ascii="Arial" w:hAnsi="Arial" w:cs="Arial"/>
                <w:b/>
                <w:sz w:val="20"/>
                <w:szCs w:val="20"/>
              </w:rPr>
            </w:pPr>
            <w:r w:rsidRPr="00BB7B8A">
              <w:rPr>
                <w:rFonts w:ascii="Arial" w:hAnsi="Arial" w:cs="Arial"/>
                <w:b/>
                <w:sz w:val="20"/>
                <w:szCs w:val="20"/>
              </w:rPr>
              <w:t>To RAN4, RAN1</w:t>
            </w:r>
          </w:p>
          <w:p w14:paraId="5E325E7E" w14:textId="686E90B1" w:rsidR="00BB7B8A" w:rsidRPr="00BB7B8A" w:rsidRDefault="00BB7B8A" w:rsidP="00BB7B8A">
            <w:pPr>
              <w:spacing w:before="0" w:beforeAutospacing="0" w:after="0"/>
              <w:ind w:left="993" w:hanging="993"/>
              <w:rPr>
                <w:rFonts w:ascii="Arial" w:hAnsi="Arial" w:cs="Arial"/>
                <w:i/>
                <w:iCs/>
              </w:rPr>
            </w:pPr>
            <w:r w:rsidRPr="00BB7B8A">
              <w:rPr>
                <w:rFonts w:ascii="Arial" w:hAnsi="Arial" w:cs="Arial"/>
                <w:b/>
                <w:sz w:val="20"/>
                <w:szCs w:val="20"/>
              </w:rPr>
              <w:t xml:space="preserve">ACTION: </w:t>
            </w:r>
            <w:r w:rsidRPr="00BB7B8A">
              <w:rPr>
                <w:rFonts w:ascii="Arial" w:hAnsi="Arial" w:cs="Arial"/>
                <w:b/>
                <w:sz w:val="20"/>
                <w:szCs w:val="20"/>
              </w:rPr>
              <w:tab/>
            </w:r>
            <w:r w:rsidRPr="00BB7B8A">
              <w:rPr>
                <w:rFonts w:ascii="Arial" w:hAnsi="Arial" w:cs="Arial"/>
                <w:sz w:val="20"/>
                <w:szCs w:val="20"/>
              </w:rPr>
              <w:t xml:space="preserve">RAN2 kindly asks RAN4 and RAN1 </w:t>
            </w:r>
            <w:r w:rsidRPr="00BB7B8A">
              <w:rPr>
                <w:rFonts w:ascii="Arial" w:eastAsiaTheme="minorEastAsia" w:hAnsi="Arial" w:cs="Arial"/>
                <w:bCs/>
                <w:sz w:val="20"/>
                <w:szCs w:val="20"/>
              </w:rPr>
              <w:t>whether the pre-acquired DL synchronization started between [t-ServiceStart, t-Service] with target satellite can be assumed as maintained if the SSB pattern (e.g., SSB offset) is changed (determined by ssb-TimeOffset) at t-Service.</w:t>
            </w:r>
          </w:p>
        </w:tc>
      </w:tr>
    </w:tbl>
    <w:p w14:paraId="40D4A6D5" w14:textId="77777777" w:rsidR="00BB7B8A" w:rsidRDefault="00BB7B8A" w:rsidP="00AD4E30">
      <w:pPr>
        <w:spacing w:before="0" w:beforeAutospacing="0"/>
        <w:jc w:val="both"/>
      </w:pPr>
    </w:p>
    <w:p w14:paraId="7BFB1FC1" w14:textId="2AE81756" w:rsidR="00BC6EFB" w:rsidRDefault="00BC6EFB" w:rsidP="00AD4E30">
      <w:pPr>
        <w:spacing w:before="0" w:beforeAutospacing="0"/>
        <w:jc w:val="both"/>
      </w:pPr>
      <w:r>
        <w:t>As shown in the following figure, the ssb-TimeOffset is to avoid the colliding between source satellite SSB and target satellite SSB during [</w:t>
      </w:r>
      <w:r w:rsidRPr="00BC6EFB">
        <w:t>t-ServiceStart, t-Service</w:t>
      </w:r>
      <w:r>
        <w:t>], and then after</w:t>
      </w:r>
      <w:r w:rsidRPr="00BC6EFB">
        <w:t xml:space="preserve"> t-Service, the </w:t>
      </w:r>
      <w:r>
        <w:t>new</w:t>
      </w:r>
      <w:r w:rsidRPr="00BC6EFB">
        <w:t xml:space="preserve"> serving satellite </w:t>
      </w:r>
      <w:r>
        <w:t xml:space="preserve">SSB offset </w:t>
      </w:r>
      <w:r w:rsidRPr="00BC6EFB">
        <w:t>is restored to the same as the previous source satellite</w:t>
      </w:r>
      <w:r>
        <w:t>. That means, the SSB offset restoring will only offset back the SSB absolute timing by a fixed time value (e.g., the ssb-TimeOffset of target satellite during [</w:t>
      </w:r>
      <w:r w:rsidRPr="00BC6EFB">
        <w:t>t-ServiceStart, t-Service</w:t>
      </w:r>
      <w:r>
        <w:t>]).</w:t>
      </w:r>
    </w:p>
    <w:p w14:paraId="72173108" w14:textId="77777777" w:rsidR="00BC6EFB" w:rsidRDefault="00BC6EFB" w:rsidP="00BC6EFB">
      <w:pPr>
        <w:keepNext/>
        <w:spacing w:before="0" w:beforeAutospacing="0"/>
        <w:jc w:val="both"/>
      </w:pPr>
      <w:r w:rsidRPr="00BC6EFB">
        <w:rPr>
          <w:noProof/>
        </w:rPr>
        <w:drawing>
          <wp:inline distT="0" distB="0" distL="0" distR="0" wp14:anchorId="27A773F6" wp14:editId="2CCA04EC">
            <wp:extent cx="6184900" cy="1212850"/>
            <wp:effectExtent l="0" t="0" r="0" b="6350"/>
            <wp:docPr id="606909875" name="Picture 1" descr="A group of blue and red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09875" name="Picture 1" descr="A group of blue and red rectangles&#10;&#10;Description automatically generated"/>
                    <pic:cNvPicPr/>
                  </pic:nvPicPr>
                  <pic:blipFill>
                    <a:blip r:embed="rId8"/>
                    <a:stretch>
                      <a:fillRect/>
                    </a:stretch>
                  </pic:blipFill>
                  <pic:spPr>
                    <a:xfrm>
                      <a:off x="0" y="0"/>
                      <a:ext cx="6184900" cy="1212850"/>
                    </a:xfrm>
                    <a:prstGeom prst="rect">
                      <a:avLst/>
                    </a:prstGeom>
                  </pic:spPr>
                </pic:pic>
              </a:graphicData>
            </a:graphic>
          </wp:inline>
        </w:drawing>
      </w:r>
    </w:p>
    <w:p w14:paraId="707210B5" w14:textId="5E6CF16B" w:rsidR="00BC6EFB" w:rsidRDefault="00BC6EFB" w:rsidP="00BC6EFB">
      <w:pPr>
        <w:pStyle w:val="Caption"/>
        <w:jc w:val="center"/>
      </w:pPr>
      <w:r>
        <w:t xml:space="preserve">Figure </w:t>
      </w:r>
      <w:fldSimple w:instr=" SEQ Figure \* ARABIC ">
        <w:r>
          <w:rPr>
            <w:noProof/>
          </w:rPr>
          <w:t>1</w:t>
        </w:r>
      </w:fldSimple>
      <w:r>
        <w:t>. illustration of soft satellite switching with SSB offset reset</w:t>
      </w:r>
    </w:p>
    <w:p w14:paraId="776D7225" w14:textId="41C66D3B" w:rsidR="00BC6EFB" w:rsidRDefault="00BC6EFB" w:rsidP="00893298">
      <w:pPr>
        <w:jc w:val="both"/>
      </w:pPr>
      <w:r>
        <w:rPr>
          <w:lang w:eastAsia="x-none"/>
        </w:rPr>
        <w:t xml:space="preserve">In RAN4 requirement for soft satellite switching as following, the </w:t>
      </w:r>
      <w:r>
        <w:t>T</w:t>
      </w:r>
      <w:r>
        <w:rPr>
          <w:vertAlign w:val="subscript"/>
        </w:rPr>
        <w:t>search</w:t>
      </w:r>
      <w:r>
        <w:t xml:space="preserve"> is the time required to search the target NR SAN cell assuming the target cell is not already known when the handover command is received by the UE. Cell search can determine the coarse timing information for symbol/slot boundary for the target satellite and it shall be maintained even after </w:t>
      </w:r>
      <w:r w:rsidR="00893298" w:rsidRPr="00BC6EFB">
        <w:t>t-Service</w:t>
      </w:r>
      <w:r>
        <w:t>.</w:t>
      </w:r>
      <w:r w:rsidR="00893298">
        <w:t xml:space="preserve"> The only difference is UE can determine the SSB location on time domain by using this coarse timing and restored SSB offset (it implies 0 </w:t>
      </w:r>
      <w:r w:rsidR="00893298" w:rsidRPr="00BC6EFB">
        <w:t>t-Service</w:t>
      </w:r>
      <w:r w:rsidR="00893298">
        <w:t xml:space="preserve"> after in our view).</w:t>
      </w:r>
    </w:p>
    <w:p w14:paraId="1E9E753B" w14:textId="065230FA" w:rsidR="00BC6EFB" w:rsidRPr="00BC6EFB" w:rsidRDefault="00BC6EFB" w:rsidP="00BC6EFB">
      <w:pPr>
        <w:jc w:val="center"/>
        <w:rPr>
          <w:lang w:eastAsia="x-none"/>
        </w:rPr>
      </w:pPr>
      <w:r w:rsidRPr="00BC6EFB">
        <w:rPr>
          <w:noProof/>
          <w:lang w:eastAsia="x-none"/>
        </w:rPr>
        <w:lastRenderedPageBreak/>
        <w:drawing>
          <wp:inline distT="0" distB="0" distL="0" distR="0" wp14:anchorId="1A2D9C9F" wp14:editId="3BE6441B">
            <wp:extent cx="3687878" cy="2673901"/>
            <wp:effectExtent l="0" t="0" r="0" b="6350"/>
            <wp:docPr id="16826681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68152" name="Picture 1" descr="A screenshot of a computer&#10;&#10;Description automatically generated"/>
                    <pic:cNvPicPr/>
                  </pic:nvPicPr>
                  <pic:blipFill>
                    <a:blip r:embed="rId9"/>
                    <a:stretch>
                      <a:fillRect/>
                    </a:stretch>
                  </pic:blipFill>
                  <pic:spPr>
                    <a:xfrm>
                      <a:off x="0" y="0"/>
                      <a:ext cx="3703012" cy="2684874"/>
                    </a:xfrm>
                    <a:prstGeom prst="rect">
                      <a:avLst/>
                    </a:prstGeom>
                  </pic:spPr>
                </pic:pic>
              </a:graphicData>
            </a:graphic>
          </wp:inline>
        </w:drawing>
      </w:r>
    </w:p>
    <w:p w14:paraId="200796AA" w14:textId="67E83CAB" w:rsidR="00893298" w:rsidRDefault="00893298" w:rsidP="00AD4E30">
      <w:pPr>
        <w:spacing w:before="0" w:beforeAutospacing="0"/>
        <w:jc w:val="both"/>
      </w:pPr>
      <w:r>
        <w:t>Additionally, we used maximum function for the requirement to consider w</w:t>
      </w:r>
      <w:r w:rsidRPr="00893298">
        <w:t>hether UE can complete the timing acquisition before t-Service</w:t>
      </w:r>
      <w:r>
        <w:t>. Thus</w:t>
      </w:r>
      <w:r w:rsidRPr="00893298">
        <w:t>, the only thing we need to clarify in RAN4 is:</w:t>
      </w:r>
      <w:r>
        <w:t xml:space="preserve"> if </w:t>
      </w:r>
      <w:r w:rsidRPr="00893298">
        <w:t xml:space="preserve">UE </w:t>
      </w:r>
      <w:r>
        <w:t>does not</w:t>
      </w:r>
      <w:r w:rsidRPr="00893298">
        <w:t xml:space="preserve"> complete the cell searching when t-service is expired</w:t>
      </w:r>
      <w:r>
        <w:t xml:space="preserve">, we need to clarify in the current definition of </w:t>
      </w:r>
      <w:r w:rsidRPr="00893298">
        <w:t>T</w:t>
      </w:r>
      <w:r w:rsidRPr="00893298">
        <w:rPr>
          <w:vertAlign w:val="subscript"/>
        </w:rPr>
        <w:t>first_SSB</w:t>
      </w:r>
      <w:r>
        <w:t>.</w:t>
      </w:r>
    </w:p>
    <w:p w14:paraId="0621F239" w14:textId="7122F891" w:rsidR="00893298" w:rsidRDefault="00893298" w:rsidP="00893298">
      <w:pPr>
        <w:spacing w:before="0" w:beforeAutospacing="0"/>
        <w:jc w:val="both"/>
      </w:pPr>
      <w:r>
        <w:t xml:space="preserve">The current definition of </w:t>
      </w:r>
      <w:r w:rsidRPr="00893298">
        <w:t>T</w:t>
      </w:r>
      <w:r w:rsidRPr="00893298">
        <w:rPr>
          <w:vertAlign w:val="subscript"/>
        </w:rPr>
        <w:t>first_SSB</w:t>
      </w:r>
      <w:r>
        <w:t xml:space="preserve"> is </w:t>
      </w:r>
      <w:r w:rsidRPr="00893298">
        <w:t xml:space="preserve">the time to the end of the first complete SSB burst of target satellite, </w:t>
      </w:r>
      <w:r w:rsidRPr="00893298">
        <w:rPr>
          <w:highlight w:val="yellow"/>
        </w:rPr>
        <w:t>the location of which is determined by the periodicity and location of SSB of the source satellite, the ssb-TimeOffset and the difference between propagation delay of the serving satellite and the target satellite counted from [SSB-TimeOffset reference point as defined in 38.331 [2]] to UE</w:t>
      </w:r>
      <w:r w:rsidRPr="00893298">
        <w:t>.</w:t>
      </w:r>
    </w:p>
    <w:p w14:paraId="4ACFA0AD" w14:textId="28D35DAB" w:rsidR="00893298" w:rsidRPr="000000F1" w:rsidRDefault="00893298" w:rsidP="00893298">
      <w:pPr>
        <w:spacing w:before="0" w:beforeAutospacing="0"/>
        <w:jc w:val="both"/>
      </w:pPr>
      <w:r w:rsidRPr="000000F1">
        <w:t>If the ssb-TimeOffset is restored after the t-Service</w:t>
      </w:r>
      <w:r w:rsidR="000000F1">
        <w:t xml:space="preserve"> and UE does not</w:t>
      </w:r>
      <w:r w:rsidR="000000F1" w:rsidRPr="00893298">
        <w:t xml:space="preserve"> complete the cell searching when t-service is expired</w:t>
      </w:r>
      <w:r w:rsidRPr="000000F1">
        <w:t xml:space="preserve">, </w:t>
      </w:r>
      <w:r w:rsidR="00713E23">
        <w:t xml:space="preserve">that actually means no </w:t>
      </w:r>
      <w:r w:rsidR="00713E23" w:rsidRPr="000000F1">
        <w:t>ssb-TimeOffset</w:t>
      </w:r>
      <w:r w:rsidR="00713E23">
        <w:t xml:space="preserve"> shall be applied to the SSB timing for target satellite, and therefore </w:t>
      </w:r>
      <w:r w:rsidRPr="000000F1">
        <w:t>it could be:</w:t>
      </w:r>
    </w:p>
    <w:p w14:paraId="77D3317D" w14:textId="4FBD40C9" w:rsidR="00893298" w:rsidRPr="000000F1" w:rsidRDefault="00893298" w:rsidP="00893298">
      <w:pPr>
        <w:pStyle w:val="ListParagraph"/>
        <w:numPr>
          <w:ilvl w:val="0"/>
          <w:numId w:val="65"/>
        </w:numPr>
        <w:spacing w:before="0" w:beforeAutospacing="0"/>
        <w:ind w:firstLineChars="0"/>
        <w:jc w:val="both"/>
        <w:rPr>
          <w:sz w:val="24"/>
          <w:szCs w:val="24"/>
        </w:rPr>
      </w:pPr>
      <w:r w:rsidRPr="000000F1">
        <w:rPr>
          <w:sz w:val="24"/>
          <w:szCs w:val="24"/>
        </w:rPr>
        <w:t>is the time to the end of the first complete SSB burst of target satellite, the location of which is determined by the periodicity and location of SSB of the source satellite</w:t>
      </w:r>
      <w:r w:rsidRPr="00713E23">
        <w:rPr>
          <w:strike/>
          <w:sz w:val="24"/>
          <w:szCs w:val="24"/>
        </w:rPr>
        <w:t>, the ssb-TimeOffset</w:t>
      </w:r>
      <w:r w:rsidRPr="000000F1">
        <w:rPr>
          <w:sz w:val="24"/>
          <w:szCs w:val="24"/>
        </w:rPr>
        <w:t xml:space="preserve"> and the difference between propagation delay of the serving satellite and the target satellite counted from [</w:t>
      </w:r>
      <w:r w:rsidRPr="00713E23">
        <w:rPr>
          <w:strike/>
          <w:sz w:val="24"/>
          <w:szCs w:val="24"/>
        </w:rPr>
        <w:t>SSB-TimeOffset</w:t>
      </w:r>
      <w:r w:rsidRPr="000000F1">
        <w:rPr>
          <w:sz w:val="24"/>
          <w:szCs w:val="24"/>
        </w:rPr>
        <w:t xml:space="preserve"> reference point as defined in 38.331 [2]] to UE</w:t>
      </w:r>
      <w:r w:rsidR="000000F1">
        <w:rPr>
          <w:sz w:val="24"/>
          <w:szCs w:val="24"/>
        </w:rPr>
        <w:t>; or</w:t>
      </w:r>
    </w:p>
    <w:p w14:paraId="3F16EC35" w14:textId="7F49668F" w:rsidR="000000F1" w:rsidRPr="000000F1" w:rsidRDefault="000000F1" w:rsidP="00893298">
      <w:pPr>
        <w:pStyle w:val="ListParagraph"/>
        <w:numPr>
          <w:ilvl w:val="0"/>
          <w:numId w:val="65"/>
        </w:numPr>
        <w:spacing w:before="0" w:beforeAutospacing="0"/>
        <w:ind w:firstLineChars="0"/>
        <w:jc w:val="both"/>
        <w:rPr>
          <w:sz w:val="24"/>
          <w:szCs w:val="24"/>
        </w:rPr>
      </w:pPr>
      <w:r w:rsidRPr="000000F1">
        <w:rPr>
          <w:sz w:val="24"/>
          <w:szCs w:val="24"/>
        </w:rPr>
        <w:t>is the time to the end of the first complete SSB burst of target satellite in the SMTC window.</w:t>
      </w:r>
    </w:p>
    <w:p w14:paraId="791049C7" w14:textId="0F1F8430" w:rsidR="00893298" w:rsidRDefault="000000F1" w:rsidP="00AD4E30">
      <w:pPr>
        <w:spacing w:before="0" w:beforeAutospacing="0"/>
        <w:jc w:val="both"/>
        <w:rPr>
          <w:b/>
          <w:bCs/>
          <w:i/>
          <w:iCs/>
        </w:rPr>
      </w:pPr>
      <w:r w:rsidRPr="000000F1">
        <w:rPr>
          <w:b/>
          <w:bCs/>
          <w:i/>
          <w:iCs/>
        </w:rPr>
        <w:t xml:space="preserve">Proposal </w:t>
      </w:r>
      <w:r w:rsidR="00504056">
        <w:rPr>
          <w:b/>
          <w:bCs/>
          <w:i/>
          <w:iCs/>
        </w:rPr>
        <w:t>2</w:t>
      </w:r>
      <w:r w:rsidRPr="000000F1">
        <w:rPr>
          <w:b/>
          <w:bCs/>
          <w:i/>
          <w:iCs/>
        </w:rPr>
        <w:t>: to answer RAN2’s question in the LS[3]:</w:t>
      </w:r>
    </w:p>
    <w:p w14:paraId="058B0BB5" w14:textId="77777777" w:rsidR="000000F1" w:rsidRPr="000000F1" w:rsidRDefault="000000F1" w:rsidP="000000F1">
      <w:pPr>
        <w:pStyle w:val="ListParagraph"/>
        <w:numPr>
          <w:ilvl w:val="0"/>
          <w:numId w:val="45"/>
        </w:numPr>
        <w:spacing w:before="0" w:beforeAutospacing="0" w:line="240" w:lineRule="auto"/>
        <w:ind w:left="360" w:firstLineChars="0"/>
        <w:jc w:val="both"/>
        <w:rPr>
          <w:b/>
          <w:bCs/>
          <w:i/>
          <w:iCs/>
          <w:sz w:val="24"/>
          <w:szCs w:val="24"/>
        </w:rPr>
      </w:pPr>
      <w:r w:rsidRPr="000000F1">
        <w:rPr>
          <w:b/>
          <w:bCs/>
          <w:i/>
          <w:iCs/>
          <w:sz w:val="24"/>
          <w:szCs w:val="24"/>
        </w:rPr>
        <w:t>the pre-acquired DL synchronization started between [t-ServiceStart, t-Service] with target satellite can be assumed as maintained if the SSB pattern (e.g., SSB offset) is changed (determined by ssb-TimeOffset) at t-Service.</w:t>
      </w:r>
    </w:p>
    <w:p w14:paraId="76DE86EF" w14:textId="07D2DF65" w:rsidR="000000F1" w:rsidRDefault="00AD4E30" w:rsidP="000000F1">
      <w:pPr>
        <w:spacing w:before="0" w:beforeAutospacing="0"/>
        <w:jc w:val="both"/>
        <w:rPr>
          <w:b/>
          <w:bCs/>
          <w:i/>
          <w:iCs/>
        </w:rPr>
      </w:pPr>
      <w:r w:rsidRPr="00B7371C">
        <w:rPr>
          <w:b/>
          <w:bCs/>
          <w:i/>
          <w:iCs/>
        </w:rPr>
        <w:t xml:space="preserve">Proposal </w:t>
      </w:r>
      <w:r w:rsidR="00504056">
        <w:rPr>
          <w:b/>
          <w:bCs/>
          <w:i/>
          <w:iCs/>
        </w:rPr>
        <w:t>3</w:t>
      </w:r>
      <w:r w:rsidRPr="00B7371C">
        <w:rPr>
          <w:b/>
          <w:bCs/>
          <w:i/>
          <w:iCs/>
        </w:rPr>
        <w:t xml:space="preserve">: </w:t>
      </w:r>
      <w:r w:rsidR="000000F1">
        <w:rPr>
          <w:b/>
          <w:bCs/>
          <w:i/>
          <w:iCs/>
        </w:rPr>
        <w:t xml:space="preserve">if </w:t>
      </w:r>
      <w:r w:rsidR="000000F1" w:rsidRPr="000000F1">
        <w:rPr>
          <w:b/>
          <w:bCs/>
          <w:i/>
          <w:iCs/>
        </w:rPr>
        <w:t>UE does not complete the cell searching when t-service is expired</w:t>
      </w:r>
      <w:r w:rsidR="000000F1">
        <w:rPr>
          <w:b/>
          <w:bCs/>
          <w:i/>
          <w:iCs/>
        </w:rPr>
        <w:t xml:space="preserve">, RAN4 to discuss whether the clarification is needed for </w:t>
      </w:r>
      <w:r w:rsidR="000000F1" w:rsidRPr="000000F1">
        <w:rPr>
          <w:b/>
          <w:bCs/>
          <w:i/>
          <w:iCs/>
        </w:rPr>
        <w:t>T</w:t>
      </w:r>
      <w:r w:rsidR="000000F1" w:rsidRPr="000000F1">
        <w:rPr>
          <w:b/>
          <w:bCs/>
          <w:i/>
          <w:iCs/>
          <w:vertAlign w:val="subscript"/>
        </w:rPr>
        <w:t>first_SSB</w:t>
      </w:r>
      <w:r w:rsidR="000000F1">
        <w:rPr>
          <w:b/>
          <w:bCs/>
          <w:i/>
          <w:iCs/>
        </w:rPr>
        <w:t>, e.g., T</w:t>
      </w:r>
      <w:r w:rsidR="000000F1" w:rsidRPr="000000F1">
        <w:rPr>
          <w:b/>
          <w:bCs/>
          <w:i/>
          <w:iCs/>
          <w:vertAlign w:val="subscript"/>
        </w:rPr>
        <w:t>first_SSB</w:t>
      </w:r>
      <w:r w:rsidR="000000F1">
        <w:rPr>
          <w:b/>
          <w:bCs/>
          <w:i/>
          <w:iCs/>
        </w:rPr>
        <w:t xml:space="preserve"> can be revised to either:</w:t>
      </w:r>
    </w:p>
    <w:p w14:paraId="6AC90C49" w14:textId="17DA11F4" w:rsidR="000000F1" w:rsidRPr="000000F1" w:rsidRDefault="000000F1" w:rsidP="000000F1">
      <w:pPr>
        <w:pStyle w:val="ListParagraph"/>
        <w:numPr>
          <w:ilvl w:val="0"/>
          <w:numId w:val="66"/>
        </w:numPr>
        <w:spacing w:before="0" w:beforeAutospacing="0" w:line="240" w:lineRule="auto"/>
        <w:ind w:firstLineChars="0"/>
        <w:jc w:val="both"/>
        <w:rPr>
          <w:b/>
          <w:bCs/>
          <w:i/>
          <w:iCs/>
          <w:sz w:val="24"/>
          <w:szCs w:val="24"/>
        </w:rPr>
      </w:pPr>
      <w:r w:rsidRPr="000000F1">
        <w:rPr>
          <w:b/>
          <w:bCs/>
          <w:i/>
          <w:iCs/>
          <w:sz w:val="24"/>
          <w:szCs w:val="24"/>
        </w:rPr>
        <w:t>is the time to the end of the first complete SSB burst of target satellite, the location of which is determined by the periodicity and location of SSB of the source satellite</w:t>
      </w:r>
      <w:r w:rsidRPr="00713E23">
        <w:rPr>
          <w:b/>
          <w:bCs/>
          <w:i/>
          <w:iCs/>
          <w:strike/>
          <w:sz w:val="24"/>
          <w:szCs w:val="24"/>
        </w:rPr>
        <w:t xml:space="preserve">, the ssb-TimeOffset </w:t>
      </w:r>
      <w:r w:rsidRPr="000000F1">
        <w:rPr>
          <w:b/>
          <w:bCs/>
          <w:i/>
          <w:iCs/>
          <w:sz w:val="24"/>
          <w:szCs w:val="24"/>
        </w:rPr>
        <w:t>and the difference between propagation delay of the serving satellite and the target satellite counted from [</w:t>
      </w:r>
      <w:r w:rsidRPr="00713E23">
        <w:rPr>
          <w:b/>
          <w:bCs/>
          <w:i/>
          <w:iCs/>
          <w:strike/>
          <w:sz w:val="24"/>
          <w:szCs w:val="24"/>
        </w:rPr>
        <w:t>SSB-TimeOffset</w:t>
      </w:r>
      <w:r w:rsidRPr="000000F1">
        <w:rPr>
          <w:b/>
          <w:bCs/>
          <w:i/>
          <w:iCs/>
          <w:sz w:val="24"/>
          <w:szCs w:val="24"/>
        </w:rPr>
        <w:t xml:space="preserve"> reference point as defined in 38.331 [2]] to </w:t>
      </w:r>
      <w:r w:rsidRPr="000000F1">
        <w:rPr>
          <w:b/>
          <w:bCs/>
          <w:i/>
          <w:iCs/>
          <w:sz w:val="24"/>
          <w:szCs w:val="24"/>
        </w:rPr>
        <w:lastRenderedPageBreak/>
        <w:t>UE; or</w:t>
      </w:r>
    </w:p>
    <w:p w14:paraId="1F0DCB27" w14:textId="78E2D00C" w:rsidR="00FB4E94" w:rsidRPr="000000F1" w:rsidRDefault="000000F1" w:rsidP="000000F1">
      <w:pPr>
        <w:pStyle w:val="ListParagraph"/>
        <w:numPr>
          <w:ilvl w:val="0"/>
          <w:numId w:val="66"/>
        </w:numPr>
        <w:spacing w:before="0" w:beforeAutospacing="0" w:line="240" w:lineRule="auto"/>
        <w:ind w:firstLineChars="0"/>
        <w:jc w:val="both"/>
        <w:rPr>
          <w:b/>
          <w:bCs/>
          <w:i/>
          <w:iCs/>
          <w:sz w:val="24"/>
          <w:szCs w:val="24"/>
        </w:rPr>
      </w:pPr>
      <w:r w:rsidRPr="000000F1">
        <w:rPr>
          <w:b/>
          <w:bCs/>
          <w:i/>
          <w:iCs/>
          <w:sz w:val="24"/>
          <w:szCs w:val="24"/>
        </w:rPr>
        <w:t>is the time to the end of the first complete SSB burst of target satellite in the SMTC window.</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EB61392" w14:textId="2D958753" w:rsidR="001073FB" w:rsidRDefault="00131046" w:rsidP="00E06DD6">
      <w:pPr>
        <w:jc w:val="both"/>
      </w:pPr>
      <w:r w:rsidRPr="00EE14B6">
        <w:t xml:space="preserve">In this contribution, we discuss the NR-NTN </w:t>
      </w:r>
      <w:r w:rsidR="008D2604">
        <w:t xml:space="preserve">core </w:t>
      </w:r>
      <w:r w:rsidRPr="00EE14B6">
        <w:t>requirement</w:t>
      </w:r>
      <w:r w:rsidR="008D2604">
        <w:t xml:space="preserve"> maintenance</w:t>
      </w:r>
      <w:r w:rsidRPr="00EE14B6">
        <w:t>.</w:t>
      </w:r>
    </w:p>
    <w:p w14:paraId="129B0E99" w14:textId="49C0B7B0" w:rsidR="00504056" w:rsidRPr="00504056" w:rsidRDefault="00504056" w:rsidP="00504056">
      <w:pPr>
        <w:spacing w:before="0" w:beforeAutospacing="0" w:after="120"/>
        <w:jc w:val="both"/>
        <w:rPr>
          <w:b/>
          <w:bCs/>
          <w:i/>
          <w:color w:val="000000" w:themeColor="text1"/>
        </w:rPr>
      </w:pPr>
      <w:r>
        <w:rPr>
          <w:b/>
          <w:bCs/>
          <w:i/>
          <w:color w:val="000000" w:themeColor="text1"/>
        </w:rPr>
        <w:t xml:space="preserve">Proposal 1: to enhance scheduling restriction in soft satellite switching, consider modifying the capability rule such that: if </w:t>
      </w:r>
      <w:r w:rsidRPr="00AC006C">
        <w:rPr>
          <w:b/>
          <w:bCs/>
          <w:i/>
          <w:color w:val="000000" w:themeColor="text1"/>
        </w:rPr>
        <w:t xml:space="preserve">UE indicates to support soft satellite switching without PCI change, it also </w:t>
      </w:r>
      <w:r>
        <w:rPr>
          <w:b/>
          <w:bCs/>
          <w:i/>
          <w:color w:val="000000" w:themeColor="text1"/>
        </w:rPr>
        <w:t>means</w:t>
      </w:r>
      <w:r w:rsidRPr="00AC006C">
        <w:rPr>
          <w:b/>
          <w:bCs/>
          <w:i/>
          <w:color w:val="000000" w:themeColor="text1"/>
        </w:rPr>
        <w:t xml:space="preserve"> UE support</w:t>
      </w:r>
      <w:r>
        <w:rPr>
          <w:b/>
          <w:bCs/>
          <w:i/>
          <w:color w:val="000000" w:themeColor="text1"/>
        </w:rPr>
        <w:t>s</w:t>
      </w:r>
      <w:r w:rsidRPr="00AC006C">
        <w:rPr>
          <w:b/>
          <w:bCs/>
          <w:i/>
          <w:color w:val="000000" w:themeColor="text1"/>
        </w:rPr>
        <w:t xml:space="preserve"> parallelMeasurementWithoutRestriction-r17</w:t>
      </w:r>
      <w:r>
        <w:rPr>
          <w:b/>
          <w:bCs/>
          <w:i/>
          <w:color w:val="000000" w:themeColor="text1"/>
        </w:rPr>
        <w:t>.</w:t>
      </w:r>
    </w:p>
    <w:p w14:paraId="56D61CC0" w14:textId="036206EF" w:rsidR="000000F1" w:rsidRDefault="000000F1" w:rsidP="000000F1">
      <w:pPr>
        <w:spacing w:before="0" w:beforeAutospacing="0"/>
        <w:jc w:val="both"/>
        <w:rPr>
          <w:b/>
          <w:bCs/>
          <w:i/>
          <w:iCs/>
        </w:rPr>
      </w:pPr>
      <w:r w:rsidRPr="000000F1">
        <w:rPr>
          <w:b/>
          <w:bCs/>
          <w:i/>
          <w:iCs/>
        </w:rPr>
        <w:t xml:space="preserve">Proposal </w:t>
      </w:r>
      <w:r w:rsidR="00504056">
        <w:rPr>
          <w:b/>
          <w:bCs/>
          <w:i/>
          <w:iCs/>
        </w:rPr>
        <w:t>2</w:t>
      </w:r>
      <w:r w:rsidRPr="000000F1">
        <w:rPr>
          <w:b/>
          <w:bCs/>
          <w:i/>
          <w:iCs/>
        </w:rPr>
        <w:t>: to answer RAN2’s question in the LS[3]:</w:t>
      </w:r>
      <w:r>
        <w:rPr>
          <w:rFonts w:hint="eastAsia"/>
          <w:b/>
          <w:bCs/>
          <w:i/>
          <w:iCs/>
        </w:rPr>
        <w:t xml:space="preserve"> </w:t>
      </w:r>
    </w:p>
    <w:p w14:paraId="6B625E6B" w14:textId="37D739ED" w:rsidR="000000F1" w:rsidRPr="000000F1" w:rsidRDefault="000000F1" w:rsidP="000000F1">
      <w:pPr>
        <w:pStyle w:val="ListParagraph"/>
        <w:numPr>
          <w:ilvl w:val="0"/>
          <w:numId w:val="45"/>
        </w:numPr>
        <w:spacing w:before="0" w:beforeAutospacing="0" w:line="240" w:lineRule="auto"/>
        <w:ind w:left="360" w:firstLineChars="0"/>
        <w:jc w:val="both"/>
        <w:rPr>
          <w:b/>
          <w:bCs/>
          <w:i/>
          <w:iCs/>
          <w:sz w:val="24"/>
          <w:szCs w:val="24"/>
        </w:rPr>
      </w:pPr>
      <w:r w:rsidRPr="000000F1">
        <w:rPr>
          <w:b/>
          <w:bCs/>
          <w:i/>
          <w:iCs/>
          <w:sz w:val="24"/>
          <w:szCs w:val="24"/>
        </w:rPr>
        <w:t>the pre-acquired DL synchronization started between [t-ServiceStart, t-Service] with target satellite can be assumed as maintained if the SSB pattern (e.g., SSB offset) is changed (determined by ssb-TimeOffset) at t-Service.</w:t>
      </w:r>
    </w:p>
    <w:p w14:paraId="37CD1C6B" w14:textId="3072C89D" w:rsidR="000000F1" w:rsidRDefault="000000F1" w:rsidP="000000F1">
      <w:pPr>
        <w:spacing w:before="0" w:beforeAutospacing="0"/>
        <w:jc w:val="both"/>
        <w:rPr>
          <w:b/>
          <w:bCs/>
          <w:i/>
          <w:iCs/>
        </w:rPr>
      </w:pPr>
      <w:r w:rsidRPr="00B7371C">
        <w:rPr>
          <w:b/>
          <w:bCs/>
          <w:i/>
          <w:iCs/>
        </w:rPr>
        <w:t xml:space="preserve">Proposal </w:t>
      </w:r>
      <w:r w:rsidR="00504056">
        <w:rPr>
          <w:b/>
          <w:bCs/>
          <w:i/>
          <w:iCs/>
        </w:rPr>
        <w:t>3</w:t>
      </w:r>
      <w:r w:rsidRPr="00B7371C">
        <w:rPr>
          <w:b/>
          <w:bCs/>
          <w:i/>
          <w:iCs/>
        </w:rPr>
        <w:t xml:space="preserve">: </w:t>
      </w:r>
      <w:r>
        <w:rPr>
          <w:b/>
          <w:bCs/>
          <w:i/>
          <w:iCs/>
        </w:rPr>
        <w:t xml:space="preserve">if </w:t>
      </w:r>
      <w:r w:rsidRPr="000000F1">
        <w:rPr>
          <w:b/>
          <w:bCs/>
          <w:i/>
          <w:iCs/>
        </w:rPr>
        <w:t>UE does not complete the cell searching when t-service is expired</w:t>
      </w:r>
      <w:r>
        <w:rPr>
          <w:b/>
          <w:bCs/>
          <w:i/>
          <w:iCs/>
        </w:rPr>
        <w:t xml:space="preserve">, RAN4 to discuss whether the clarification is needed for </w:t>
      </w:r>
      <w:r w:rsidRPr="000000F1">
        <w:rPr>
          <w:b/>
          <w:bCs/>
          <w:i/>
          <w:iCs/>
        </w:rPr>
        <w:t>T</w:t>
      </w:r>
      <w:r w:rsidRPr="000000F1">
        <w:rPr>
          <w:b/>
          <w:bCs/>
          <w:i/>
          <w:iCs/>
          <w:vertAlign w:val="subscript"/>
        </w:rPr>
        <w:t>first_SSB</w:t>
      </w:r>
      <w:r>
        <w:rPr>
          <w:b/>
          <w:bCs/>
          <w:i/>
          <w:iCs/>
        </w:rPr>
        <w:t>, e.g., T</w:t>
      </w:r>
      <w:r w:rsidRPr="000000F1">
        <w:rPr>
          <w:b/>
          <w:bCs/>
          <w:i/>
          <w:iCs/>
          <w:vertAlign w:val="subscript"/>
        </w:rPr>
        <w:t>first_SSB</w:t>
      </w:r>
      <w:r>
        <w:rPr>
          <w:b/>
          <w:bCs/>
          <w:i/>
          <w:iCs/>
        </w:rPr>
        <w:t xml:space="preserve"> can be revised to either:</w:t>
      </w:r>
    </w:p>
    <w:p w14:paraId="52C7FDC7" w14:textId="5006EA54" w:rsidR="000000F1" w:rsidRPr="000000F1" w:rsidRDefault="000000F1" w:rsidP="000000F1">
      <w:pPr>
        <w:pStyle w:val="ListParagraph"/>
        <w:numPr>
          <w:ilvl w:val="0"/>
          <w:numId w:val="67"/>
        </w:numPr>
        <w:spacing w:before="0" w:beforeAutospacing="0" w:line="240" w:lineRule="auto"/>
        <w:ind w:firstLineChars="0"/>
        <w:jc w:val="both"/>
        <w:rPr>
          <w:b/>
          <w:bCs/>
          <w:i/>
          <w:iCs/>
          <w:sz w:val="24"/>
          <w:szCs w:val="24"/>
        </w:rPr>
      </w:pPr>
      <w:r w:rsidRPr="000000F1">
        <w:rPr>
          <w:b/>
          <w:bCs/>
          <w:i/>
          <w:iCs/>
          <w:sz w:val="24"/>
          <w:szCs w:val="24"/>
        </w:rPr>
        <w:t>is the time to the end of the first complete SSB burst of target satellite, the location of which is determined by the periodicity and location of SSB of the source satellite</w:t>
      </w:r>
      <w:r w:rsidRPr="00713E23">
        <w:rPr>
          <w:b/>
          <w:bCs/>
          <w:i/>
          <w:iCs/>
          <w:strike/>
          <w:sz w:val="24"/>
          <w:szCs w:val="24"/>
        </w:rPr>
        <w:t>, the ssb-TimeOffset</w:t>
      </w:r>
      <w:r w:rsidRPr="000000F1">
        <w:rPr>
          <w:b/>
          <w:bCs/>
          <w:i/>
          <w:iCs/>
          <w:sz w:val="24"/>
          <w:szCs w:val="24"/>
        </w:rPr>
        <w:t xml:space="preserve"> and the difference between propagation delay of the serving satellite and the target satellite counted from [</w:t>
      </w:r>
      <w:r w:rsidRPr="00713E23">
        <w:rPr>
          <w:b/>
          <w:bCs/>
          <w:i/>
          <w:iCs/>
          <w:strike/>
          <w:sz w:val="24"/>
          <w:szCs w:val="24"/>
        </w:rPr>
        <w:t>SSB-TimeOffset</w:t>
      </w:r>
      <w:r w:rsidRPr="000000F1">
        <w:rPr>
          <w:b/>
          <w:bCs/>
          <w:i/>
          <w:iCs/>
          <w:sz w:val="24"/>
          <w:szCs w:val="24"/>
        </w:rPr>
        <w:t xml:space="preserve"> reference point as defined in 38.331 [2]] to UE; or</w:t>
      </w:r>
    </w:p>
    <w:p w14:paraId="5D5F8B04" w14:textId="77777777" w:rsidR="000000F1" w:rsidRPr="000000F1" w:rsidRDefault="000000F1" w:rsidP="000000F1">
      <w:pPr>
        <w:pStyle w:val="ListParagraph"/>
        <w:numPr>
          <w:ilvl w:val="0"/>
          <w:numId w:val="67"/>
        </w:numPr>
        <w:spacing w:before="0" w:beforeAutospacing="0" w:line="240" w:lineRule="auto"/>
        <w:ind w:firstLineChars="0"/>
        <w:jc w:val="both"/>
        <w:rPr>
          <w:b/>
          <w:bCs/>
          <w:i/>
          <w:iCs/>
          <w:sz w:val="24"/>
          <w:szCs w:val="24"/>
        </w:rPr>
      </w:pPr>
      <w:r w:rsidRPr="000000F1">
        <w:rPr>
          <w:b/>
          <w:bCs/>
          <w:i/>
          <w:iCs/>
          <w:sz w:val="24"/>
          <w:szCs w:val="24"/>
        </w:rPr>
        <w:t>is the time to the end of the first complete SSB burst of target satellite in the SMTC window.</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45A63DB" w14:textId="2B877CAC" w:rsidR="00756606" w:rsidRDefault="00756606" w:rsidP="00756606">
      <w:r>
        <w:t xml:space="preserve">[1] </w:t>
      </w:r>
      <w:r w:rsidR="007A1616" w:rsidRPr="007A1616">
        <w:rPr>
          <w:rFonts w:cs="Arial"/>
          <w:noProof/>
        </w:rPr>
        <w:t>R4-2418265</w:t>
      </w:r>
      <w:r w:rsidR="00537816">
        <w:rPr>
          <w:rFonts w:cs="Arial"/>
          <w:noProof/>
        </w:rPr>
        <w:t xml:space="preserve">, </w:t>
      </w:r>
      <w:r w:rsidR="007A1616" w:rsidRPr="007A1616">
        <w:rPr>
          <w:rFonts w:cs="Arial"/>
          <w:noProof/>
        </w:rPr>
        <w:t>Topic summary for [113][207] NR_NTN_enh</w:t>
      </w:r>
      <w:r w:rsidRPr="003302A0">
        <w:t xml:space="preserve">, </w:t>
      </w:r>
      <w:r w:rsidRPr="00C8257C">
        <w:t>Qualcomm Incorporated</w:t>
      </w:r>
      <w:r w:rsidRPr="003302A0">
        <w:t>, RAN</w:t>
      </w:r>
      <w:r>
        <w:t>4 #11</w:t>
      </w:r>
      <w:r w:rsidR="007A1616">
        <w:t>3</w:t>
      </w:r>
    </w:p>
    <w:p w14:paraId="074E3527" w14:textId="15C81604" w:rsidR="00BA52AC" w:rsidRDefault="00756606" w:rsidP="00BA52AC">
      <w:r>
        <w:t xml:space="preserve">[2] </w:t>
      </w:r>
      <w:r w:rsidR="007A1616" w:rsidRPr="007A1616">
        <w:rPr>
          <w:rFonts w:cs="Arial"/>
          <w:noProof/>
        </w:rPr>
        <w:t>R4-2420235</w:t>
      </w:r>
      <w:r w:rsidR="00537816">
        <w:rPr>
          <w:rFonts w:cs="Arial"/>
          <w:noProof/>
        </w:rPr>
        <w:t xml:space="preserve">, </w:t>
      </w:r>
      <w:r w:rsidR="007A1616" w:rsidRPr="007A1616">
        <w:rPr>
          <w:rFonts w:cs="Arial"/>
          <w:noProof/>
        </w:rPr>
        <w:t>WF on RRM requirements for NR_NTN_enh</w:t>
      </w:r>
      <w:r>
        <w:t xml:space="preserve">, </w:t>
      </w:r>
      <w:r w:rsidRPr="00C8257C">
        <w:t>Qualcomm Incorporated</w:t>
      </w:r>
      <w:r>
        <w:t>,</w:t>
      </w:r>
      <w:r w:rsidRPr="00C8257C">
        <w:t xml:space="preserve"> </w:t>
      </w:r>
      <w:r>
        <w:t>RAN4#11</w:t>
      </w:r>
      <w:r w:rsidR="007A1616">
        <w:t>3</w:t>
      </w:r>
    </w:p>
    <w:p w14:paraId="376F492F" w14:textId="4F57CFED" w:rsidR="000F6303" w:rsidRPr="00BA52AC" w:rsidRDefault="000F6303" w:rsidP="00BA52AC">
      <w:r>
        <w:t xml:space="preserve">[3] </w:t>
      </w:r>
      <w:r w:rsidRPr="000F6303">
        <w:t>R2-2410978</w:t>
      </w:r>
      <w:r>
        <w:t xml:space="preserve">, </w:t>
      </w:r>
      <w:r w:rsidRPr="000F6303">
        <w:t>LS on soft satellite switch with re-sync</w:t>
      </w:r>
      <w:r>
        <w:t>, Huawei, RAN2#128</w:t>
      </w:r>
    </w:p>
    <w:p w14:paraId="608DFE79" w14:textId="5E59BBB5" w:rsidR="00BA52AC" w:rsidRDefault="00BA52AC" w:rsidP="00A74337"/>
    <w:p w14:paraId="1A9988BC" w14:textId="0E5C818F" w:rsidR="00A753C9" w:rsidRDefault="00A753C9" w:rsidP="00281956"/>
    <w:sectPr w:rsidR="00A753C9" w:rsidSect="00DD5D3B">
      <w:headerReference w:type="even" r:id="rId10"/>
      <w:footnotePr>
        <w:numRestart w:val="eachSect"/>
      </w:footnotePr>
      <w:pgSz w:w="11900" w:h="16840"/>
      <w:pgMar w:top="1440" w:right="1080" w:bottom="1440" w:left="1080"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266CD" w14:textId="77777777" w:rsidR="00F76B82" w:rsidRDefault="00F76B82">
      <w:r>
        <w:separator/>
      </w:r>
    </w:p>
  </w:endnote>
  <w:endnote w:type="continuationSeparator" w:id="0">
    <w:p w14:paraId="5BE3A0F8" w14:textId="77777777" w:rsidR="00F76B82" w:rsidRDefault="00F76B82">
      <w:r>
        <w:continuationSeparator/>
      </w:r>
    </w:p>
  </w:endnote>
  <w:endnote w:type="continuationNotice" w:id="1">
    <w:p w14:paraId="7C6CB092" w14:textId="77777777" w:rsidR="00F76B82" w:rsidRDefault="00F76B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notTrueType/>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5EE314" w14:textId="77777777" w:rsidR="00F76B82" w:rsidRDefault="00F76B82">
      <w:r>
        <w:separator/>
      </w:r>
    </w:p>
  </w:footnote>
  <w:footnote w:type="continuationSeparator" w:id="0">
    <w:p w14:paraId="6698FF11" w14:textId="77777777" w:rsidR="00F76B82" w:rsidRDefault="00F76B82">
      <w:r>
        <w:continuationSeparator/>
      </w:r>
    </w:p>
  </w:footnote>
  <w:footnote w:type="continuationNotice" w:id="1">
    <w:p w14:paraId="7F9C488C" w14:textId="77777777" w:rsidR="00F76B82" w:rsidRDefault="00F76B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55.7pt;height:38.2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CC5A2D"/>
    <w:multiLevelType w:val="hybridMultilevel"/>
    <w:tmpl w:val="40B868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9"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3605A57"/>
    <w:multiLevelType w:val="hybridMultilevel"/>
    <w:tmpl w:val="1A489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287B26F2"/>
    <w:multiLevelType w:val="hybridMultilevel"/>
    <w:tmpl w:val="9670D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8779CD"/>
    <w:multiLevelType w:val="hybridMultilevel"/>
    <w:tmpl w:val="40B868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93D4429"/>
    <w:multiLevelType w:val="hybridMultilevel"/>
    <w:tmpl w:val="59D22A74"/>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20"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2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2A966925"/>
    <w:multiLevelType w:val="hybridMultilevel"/>
    <w:tmpl w:val="E2709BA0"/>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23"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7"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41B73CBB"/>
    <w:multiLevelType w:val="multilevel"/>
    <w:tmpl w:val="41B73CBB"/>
    <w:lvl w:ilvl="0">
      <w:start w:val="2"/>
      <w:numFmt w:val="bullet"/>
      <w:lvlText w:val="-"/>
      <w:lvlJc w:val="left"/>
      <w:pPr>
        <w:ind w:left="720" w:hanging="360"/>
      </w:pPr>
      <w:rPr>
        <w:rFonts w:ascii="Calibri" w:eastAsia="Calibri"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1"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33" w15:restartNumberingAfterBreak="0">
    <w:nsid w:val="4B926A93"/>
    <w:multiLevelType w:val="hybridMultilevel"/>
    <w:tmpl w:val="B1F810F2"/>
    <w:lvl w:ilvl="0" w:tplc="04090001">
      <w:start w:val="1"/>
      <w:numFmt w:val="bullet"/>
      <w:lvlText w:val=""/>
      <w:lvlJc w:val="left"/>
      <w:pPr>
        <w:ind w:left="706" w:hanging="360"/>
      </w:pPr>
      <w:rPr>
        <w:rFonts w:ascii="Symbol" w:hAnsi="Symbol" w:hint="default"/>
      </w:rPr>
    </w:lvl>
    <w:lvl w:ilvl="1" w:tplc="04090003">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34" w15:restartNumberingAfterBreak="0">
    <w:nsid w:val="4FEC4F38"/>
    <w:multiLevelType w:val="hybridMultilevel"/>
    <w:tmpl w:val="40B86800"/>
    <w:lvl w:ilvl="0" w:tplc="87DCA4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72D2E21"/>
    <w:multiLevelType w:val="hybridMultilevel"/>
    <w:tmpl w:val="BF141D0C"/>
    <w:lvl w:ilvl="0" w:tplc="FF72793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3"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D1F430C"/>
    <w:multiLevelType w:val="multilevel"/>
    <w:tmpl w:val="5D1F43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267C66"/>
    <w:multiLevelType w:val="hybridMultilevel"/>
    <w:tmpl w:val="BBDC7FEE"/>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9"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3"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D674F67"/>
    <w:multiLevelType w:val="hybridMultilevel"/>
    <w:tmpl w:val="37D450D4"/>
    <w:lvl w:ilvl="0" w:tplc="04090001">
      <w:start w:val="1"/>
      <w:numFmt w:val="bullet"/>
      <w:lvlText w:val=""/>
      <w:lvlJc w:val="left"/>
      <w:pPr>
        <w:ind w:left="720" w:hanging="360"/>
      </w:pPr>
      <w:rPr>
        <w:rFonts w:ascii="Symbol" w:hAnsi="Symbol" w:hint="default"/>
      </w:rPr>
    </w:lvl>
    <w:lvl w:ilvl="1" w:tplc="6D12B1CA">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6"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60"/>
  </w:num>
  <w:num w:numId="5" w16cid:durableId="199491767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35"/>
  </w:num>
  <w:num w:numId="8" w16cid:durableId="66853061">
    <w:abstractNumId w:val="6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9"/>
  </w:num>
  <w:num w:numId="11" w16cid:durableId="658192778">
    <w:abstractNumId w:val="55"/>
  </w:num>
  <w:num w:numId="12" w16cid:durableId="1683971953">
    <w:abstractNumId w:val="38"/>
  </w:num>
  <w:num w:numId="13" w16cid:durableId="1802336773">
    <w:abstractNumId w:val="56"/>
  </w:num>
  <w:num w:numId="14" w16cid:durableId="183179212">
    <w:abstractNumId w:val="13"/>
  </w:num>
  <w:num w:numId="15" w16cid:durableId="101072845">
    <w:abstractNumId w:val="2"/>
  </w:num>
  <w:num w:numId="16" w16cid:durableId="1671985423">
    <w:abstractNumId w:val="61"/>
  </w:num>
  <w:num w:numId="17" w16cid:durableId="527718403">
    <w:abstractNumId w:val="11"/>
  </w:num>
  <w:num w:numId="18" w16cid:durableId="336426665">
    <w:abstractNumId w:val="45"/>
  </w:num>
  <w:num w:numId="19" w16cid:durableId="314071016">
    <w:abstractNumId w:val="7"/>
  </w:num>
  <w:num w:numId="20" w16cid:durableId="254241833">
    <w:abstractNumId w:val="16"/>
  </w:num>
  <w:num w:numId="21" w16cid:durableId="2056931042">
    <w:abstractNumId w:val="37"/>
  </w:num>
  <w:num w:numId="22" w16cid:durableId="277881800">
    <w:abstractNumId w:val="42"/>
  </w:num>
  <w:num w:numId="23" w16cid:durableId="2121104171">
    <w:abstractNumId w:val="28"/>
  </w:num>
  <w:num w:numId="24" w16cid:durableId="1956054883">
    <w:abstractNumId w:val="23"/>
  </w:num>
  <w:num w:numId="25" w16cid:durableId="1143275559">
    <w:abstractNumId w:val="30"/>
  </w:num>
  <w:num w:numId="26" w16cid:durableId="337998213">
    <w:abstractNumId w:val="31"/>
  </w:num>
  <w:num w:numId="27" w16cid:durableId="753867088">
    <w:abstractNumId w:val="26"/>
  </w:num>
  <w:num w:numId="28" w16cid:durableId="1388605013">
    <w:abstractNumId w:val="24"/>
  </w:num>
  <w:num w:numId="29" w16cid:durableId="1194684424">
    <w:abstractNumId w:val="32"/>
  </w:num>
  <w:num w:numId="30" w16cid:durableId="195780968">
    <w:abstractNumId w:val="46"/>
  </w:num>
  <w:num w:numId="31" w16cid:durableId="43145658">
    <w:abstractNumId w:val="41"/>
  </w:num>
  <w:num w:numId="32" w16cid:durableId="840119956">
    <w:abstractNumId w:val="59"/>
  </w:num>
  <w:num w:numId="33" w16cid:durableId="788086887">
    <w:abstractNumId w:val="53"/>
  </w:num>
  <w:num w:numId="34" w16cid:durableId="1075589885">
    <w:abstractNumId w:val="27"/>
  </w:num>
  <w:num w:numId="35" w16cid:durableId="1071587299">
    <w:abstractNumId w:val="57"/>
  </w:num>
  <w:num w:numId="36" w16cid:durableId="1091851232">
    <w:abstractNumId w:val="51"/>
  </w:num>
  <w:num w:numId="37" w16cid:durableId="1931697551">
    <w:abstractNumId w:val="25"/>
  </w:num>
  <w:num w:numId="38" w16cid:durableId="1849905691">
    <w:abstractNumId w:val="43"/>
  </w:num>
  <w:num w:numId="39" w16cid:durableId="276916249">
    <w:abstractNumId w:val="58"/>
  </w:num>
  <w:num w:numId="40" w16cid:durableId="935945555">
    <w:abstractNumId w:val="10"/>
  </w:num>
  <w:num w:numId="41" w16cid:durableId="1093478076">
    <w:abstractNumId w:val="15"/>
  </w:num>
  <w:num w:numId="42" w16cid:durableId="1347514231">
    <w:abstractNumId w:val="62"/>
  </w:num>
  <w:num w:numId="43" w16cid:durableId="30151458">
    <w:abstractNumId w:val="0"/>
  </w:num>
  <w:num w:numId="44" w16cid:durableId="207424313">
    <w:abstractNumId w:val="47"/>
  </w:num>
  <w:num w:numId="45" w16cid:durableId="1443723114">
    <w:abstractNumId w:val="48"/>
  </w:num>
  <w:num w:numId="46" w16cid:durableId="1609892873">
    <w:abstractNumId w:val="36"/>
  </w:num>
  <w:num w:numId="47" w16cid:durableId="966543058">
    <w:abstractNumId w:val="39"/>
  </w:num>
  <w:num w:numId="48" w16cid:durableId="2035420080">
    <w:abstractNumId w:val="12"/>
  </w:num>
  <w:num w:numId="49" w16cid:durableId="1083143886">
    <w:abstractNumId w:val="50"/>
  </w:num>
  <w:num w:numId="50" w16cid:durableId="166945364">
    <w:abstractNumId w:val="4"/>
  </w:num>
  <w:num w:numId="51" w16cid:durableId="59714487">
    <w:abstractNumId w:val="20"/>
  </w:num>
  <w:num w:numId="52" w16cid:durableId="1453204654">
    <w:abstractNumId w:val="3"/>
  </w:num>
  <w:num w:numId="53" w16cid:durableId="2112234269">
    <w:abstractNumId w:val="49"/>
  </w:num>
  <w:num w:numId="54" w16cid:durableId="1452824539">
    <w:abstractNumId w:val="21"/>
  </w:num>
  <w:num w:numId="55" w16cid:durableId="1971284806">
    <w:abstractNumId w:val="14"/>
  </w:num>
  <w:num w:numId="56" w16cid:durableId="1893927055">
    <w:abstractNumId w:val="5"/>
  </w:num>
  <w:num w:numId="57" w16cid:durableId="1050767340">
    <w:abstractNumId w:val="40"/>
  </w:num>
  <w:num w:numId="58" w16cid:durableId="1937132579">
    <w:abstractNumId w:val="19"/>
  </w:num>
  <w:num w:numId="59" w16cid:durableId="1386103137">
    <w:abstractNumId w:val="54"/>
  </w:num>
  <w:num w:numId="60" w16cid:durableId="580606643">
    <w:abstractNumId w:val="33"/>
  </w:num>
  <w:num w:numId="61" w16cid:durableId="537543932">
    <w:abstractNumId w:val="22"/>
  </w:num>
  <w:num w:numId="62" w16cid:durableId="1204055655">
    <w:abstractNumId w:val="17"/>
  </w:num>
  <w:num w:numId="63" w16cid:durableId="416102358">
    <w:abstractNumId w:val="44"/>
  </w:num>
  <w:num w:numId="64" w16cid:durableId="711998340">
    <w:abstractNumId w:val="29"/>
  </w:num>
  <w:num w:numId="65" w16cid:durableId="820853775">
    <w:abstractNumId w:val="34"/>
  </w:num>
  <w:num w:numId="66" w16cid:durableId="141968678">
    <w:abstractNumId w:val="18"/>
  </w:num>
  <w:num w:numId="67" w16cid:durableId="1205679942">
    <w:abstractNumId w:val="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0F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1E9"/>
    <w:rsid w:val="0002052C"/>
    <w:rsid w:val="00021743"/>
    <w:rsid w:val="00021CAE"/>
    <w:rsid w:val="00021EE3"/>
    <w:rsid w:val="00021F19"/>
    <w:rsid w:val="000224EE"/>
    <w:rsid w:val="00023463"/>
    <w:rsid w:val="0002357C"/>
    <w:rsid w:val="00024338"/>
    <w:rsid w:val="000243FC"/>
    <w:rsid w:val="00024952"/>
    <w:rsid w:val="00025358"/>
    <w:rsid w:val="000255E6"/>
    <w:rsid w:val="00025658"/>
    <w:rsid w:val="000259ED"/>
    <w:rsid w:val="00025E46"/>
    <w:rsid w:val="000268B8"/>
    <w:rsid w:val="00026ED2"/>
    <w:rsid w:val="00026F21"/>
    <w:rsid w:val="00027CB7"/>
    <w:rsid w:val="000301DB"/>
    <w:rsid w:val="0003026B"/>
    <w:rsid w:val="000302CC"/>
    <w:rsid w:val="000318BF"/>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4F13"/>
    <w:rsid w:val="000459BE"/>
    <w:rsid w:val="00045E08"/>
    <w:rsid w:val="00050318"/>
    <w:rsid w:val="00050545"/>
    <w:rsid w:val="00050957"/>
    <w:rsid w:val="00051788"/>
    <w:rsid w:val="00051AA2"/>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129"/>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222"/>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6A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2D8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6303"/>
    <w:rsid w:val="000F73C0"/>
    <w:rsid w:val="000F7CF0"/>
    <w:rsid w:val="00100FA4"/>
    <w:rsid w:val="001013C0"/>
    <w:rsid w:val="00101571"/>
    <w:rsid w:val="00102195"/>
    <w:rsid w:val="00102C01"/>
    <w:rsid w:val="0010478B"/>
    <w:rsid w:val="00104EFB"/>
    <w:rsid w:val="00105513"/>
    <w:rsid w:val="0010588B"/>
    <w:rsid w:val="00106747"/>
    <w:rsid w:val="00106FFC"/>
    <w:rsid w:val="001073FB"/>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D82"/>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046"/>
    <w:rsid w:val="001318C8"/>
    <w:rsid w:val="00131FC6"/>
    <w:rsid w:val="001325E9"/>
    <w:rsid w:val="00132EBF"/>
    <w:rsid w:val="00132F37"/>
    <w:rsid w:val="00133A0A"/>
    <w:rsid w:val="001346E3"/>
    <w:rsid w:val="00134D3E"/>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87A7A"/>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0AB"/>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853"/>
    <w:rsid w:val="001D24FB"/>
    <w:rsid w:val="001D3529"/>
    <w:rsid w:val="001D5057"/>
    <w:rsid w:val="001D5DEE"/>
    <w:rsid w:val="001D6F61"/>
    <w:rsid w:val="001D714B"/>
    <w:rsid w:val="001D796C"/>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2A9"/>
    <w:rsid w:val="00207BC3"/>
    <w:rsid w:val="002104DB"/>
    <w:rsid w:val="00210573"/>
    <w:rsid w:val="00210DE4"/>
    <w:rsid w:val="002111B2"/>
    <w:rsid w:val="00212570"/>
    <w:rsid w:val="0021369B"/>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4349"/>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1956"/>
    <w:rsid w:val="00282398"/>
    <w:rsid w:val="002825A1"/>
    <w:rsid w:val="0028322C"/>
    <w:rsid w:val="002835C8"/>
    <w:rsid w:val="00283B69"/>
    <w:rsid w:val="00283CE0"/>
    <w:rsid w:val="00284F70"/>
    <w:rsid w:val="0028616A"/>
    <w:rsid w:val="002865A0"/>
    <w:rsid w:val="00287178"/>
    <w:rsid w:val="0028784E"/>
    <w:rsid w:val="00291C33"/>
    <w:rsid w:val="0029215C"/>
    <w:rsid w:val="002941B3"/>
    <w:rsid w:val="002954CC"/>
    <w:rsid w:val="002954F1"/>
    <w:rsid w:val="00295F08"/>
    <w:rsid w:val="002961B9"/>
    <w:rsid w:val="00296BEB"/>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6DED"/>
    <w:rsid w:val="002D73CC"/>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1D7D"/>
    <w:rsid w:val="003521A7"/>
    <w:rsid w:val="003527DD"/>
    <w:rsid w:val="00352C9D"/>
    <w:rsid w:val="00353E99"/>
    <w:rsid w:val="003542FC"/>
    <w:rsid w:val="00354969"/>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3FF"/>
    <w:rsid w:val="003A7912"/>
    <w:rsid w:val="003B036E"/>
    <w:rsid w:val="003B0971"/>
    <w:rsid w:val="003B0A14"/>
    <w:rsid w:val="003B1940"/>
    <w:rsid w:val="003B2462"/>
    <w:rsid w:val="003B246F"/>
    <w:rsid w:val="003B3B3F"/>
    <w:rsid w:val="003B3E7E"/>
    <w:rsid w:val="003B52C4"/>
    <w:rsid w:val="003B5CAB"/>
    <w:rsid w:val="003B7066"/>
    <w:rsid w:val="003B78AC"/>
    <w:rsid w:val="003B7EC1"/>
    <w:rsid w:val="003C0024"/>
    <w:rsid w:val="003C00A2"/>
    <w:rsid w:val="003C0A81"/>
    <w:rsid w:val="003C1CCC"/>
    <w:rsid w:val="003C2043"/>
    <w:rsid w:val="003C2250"/>
    <w:rsid w:val="003C2D69"/>
    <w:rsid w:val="003C4463"/>
    <w:rsid w:val="003C4CAB"/>
    <w:rsid w:val="003C4E9F"/>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5EFA"/>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C7D"/>
    <w:rsid w:val="003F3D76"/>
    <w:rsid w:val="003F4307"/>
    <w:rsid w:val="003F436C"/>
    <w:rsid w:val="003F46D1"/>
    <w:rsid w:val="003F6FBE"/>
    <w:rsid w:val="003F727B"/>
    <w:rsid w:val="003F77E2"/>
    <w:rsid w:val="003F7B77"/>
    <w:rsid w:val="00401245"/>
    <w:rsid w:val="004013F3"/>
    <w:rsid w:val="00401418"/>
    <w:rsid w:val="004022CB"/>
    <w:rsid w:val="004023F2"/>
    <w:rsid w:val="004056CB"/>
    <w:rsid w:val="00406096"/>
    <w:rsid w:val="004073E7"/>
    <w:rsid w:val="00407A1A"/>
    <w:rsid w:val="00407B4B"/>
    <w:rsid w:val="00407D5E"/>
    <w:rsid w:val="00411C70"/>
    <w:rsid w:val="00411F08"/>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321"/>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2E8F"/>
    <w:rsid w:val="004530B2"/>
    <w:rsid w:val="00454FEA"/>
    <w:rsid w:val="004564B4"/>
    <w:rsid w:val="004570AC"/>
    <w:rsid w:val="00457CEC"/>
    <w:rsid w:val="00457D58"/>
    <w:rsid w:val="004603FC"/>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D7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056"/>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6D8"/>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37816"/>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5DA6"/>
    <w:rsid w:val="00556460"/>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0D8B"/>
    <w:rsid w:val="00590F06"/>
    <w:rsid w:val="00592401"/>
    <w:rsid w:val="00592642"/>
    <w:rsid w:val="00592D57"/>
    <w:rsid w:val="00594503"/>
    <w:rsid w:val="00594C22"/>
    <w:rsid w:val="00594C68"/>
    <w:rsid w:val="00595549"/>
    <w:rsid w:val="00596454"/>
    <w:rsid w:val="00596D2E"/>
    <w:rsid w:val="005A002B"/>
    <w:rsid w:val="005A1E0E"/>
    <w:rsid w:val="005A1FEC"/>
    <w:rsid w:val="005A3799"/>
    <w:rsid w:val="005A3D78"/>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281"/>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4B2B"/>
    <w:rsid w:val="005D595E"/>
    <w:rsid w:val="005D64E5"/>
    <w:rsid w:val="005D69F7"/>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9E1"/>
    <w:rsid w:val="005F1A62"/>
    <w:rsid w:val="005F2074"/>
    <w:rsid w:val="005F22AD"/>
    <w:rsid w:val="005F234D"/>
    <w:rsid w:val="005F2A6A"/>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256"/>
    <w:rsid w:val="00672D22"/>
    <w:rsid w:val="00673261"/>
    <w:rsid w:val="00673D7E"/>
    <w:rsid w:val="00674EEF"/>
    <w:rsid w:val="0067516A"/>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63C2"/>
    <w:rsid w:val="006877DB"/>
    <w:rsid w:val="00687842"/>
    <w:rsid w:val="00687C17"/>
    <w:rsid w:val="0069017A"/>
    <w:rsid w:val="00690490"/>
    <w:rsid w:val="006918EE"/>
    <w:rsid w:val="00691F11"/>
    <w:rsid w:val="00692682"/>
    <w:rsid w:val="00692A6A"/>
    <w:rsid w:val="00692F61"/>
    <w:rsid w:val="00692F75"/>
    <w:rsid w:val="0069304D"/>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5570"/>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1F2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700"/>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3E23"/>
    <w:rsid w:val="00714382"/>
    <w:rsid w:val="00714DF4"/>
    <w:rsid w:val="00714EFB"/>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5B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8D7"/>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6606"/>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0B3"/>
    <w:rsid w:val="007704E1"/>
    <w:rsid w:val="007709FF"/>
    <w:rsid w:val="00770B89"/>
    <w:rsid w:val="007717DE"/>
    <w:rsid w:val="00771980"/>
    <w:rsid w:val="00771EDD"/>
    <w:rsid w:val="00772586"/>
    <w:rsid w:val="007729AF"/>
    <w:rsid w:val="00772DAA"/>
    <w:rsid w:val="00772FF5"/>
    <w:rsid w:val="00773373"/>
    <w:rsid w:val="00773A5A"/>
    <w:rsid w:val="00773B3E"/>
    <w:rsid w:val="007741C0"/>
    <w:rsid w:val="0077426D"/>
    <w:rsid w:val="00775200"/>
    <w:rsid w:val="00775528"/>
    <w:rsid w:val="00776DC6"/>
    <w:rsid w:val="00777681"/>
    <w:rsid w:val="00777880"/>
    <w:rsid w:val="007806A8"/>
    <w:rsid w:val="00780A50"/>
    <w:rsid w:val="00780A97"/>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19C"/>
    <w:rsid w:val="007964C8"/>
    <w:rsid w:val="00797130"/>
    <w:rsid w:val="00797465"/>
    <w:rsid w:val="00797539"/>
    <w:rsid w:val="00797890"/>
    <w:rsid w:val="00797C3B"/>
    <w:rsid w:val="007A0FE4"/>
    <w:rsid w:val="007A1068"/>
    <w:rsid w:val="007A1117"/>
    <w:rsid w:val="007A12E6"/>
    <w:rsid w:val="007A1613"/>
    <w:rsid w:val="007A1616"/>
    <w:rsid w:val="007A277D"/>
    <w:rsid w:val="007A2CB1"/>
    <w:rsid w:val="007A3388"/>
    <w:rsid w:val="007A43CC"/>
    <w:rsid w:val="007A47D8"/>
    <w:rsid w:val="007A487A"/>
    <w:rsid w:val="007A5290"/>
    <w:rsid w:val="007A5B10"/>
    <w:rsid w:val="007A5E8D"/>
    <w:rsid w:val="007A5E95"/>
    <w:rsid w:val="007A734B"/>
    <w:rsid w:val="007A79FC"/>
    <w:rsid w:val="007A7A53"/>
    <w:rsid w:val="007A7DBF"/>
    <w:rsid w:val="007B1830"/>
    <w:rsid w:val="007B2B5C"/>
    <w:rsid w:val="007B2D08"/>
    <w:rsid w:val="007B2D31"/>
    <w:rsid w:val="007B2E0F"/>
    <w:rsid w:val="007B3D65"/>
    <w:rsid w:val="007B3E2E"/>
    <w:rsid w:val="007B3EC5"/>
    <w:rsid w:val="007B4654"/>
    <w:rsid w:val="007B4666"/>
    <w:rsid w:val="007B49A9"/>
    <w:rsid w:val="007B4AAB"/>
    <w:rsid w:val="007B4FF5"/>
    <w:rsid w:val="007B503F"/>
    <w:rsid w:val="007B5A63"/>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6F2A"/>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0D2"/>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3FE"/>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257"/>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25C0"/>
    <w:rsid w:val="008430F3"/>
    <w:rsid w:val="008432A3"/>
    <w:rsid w:val="00843567"/>
    <w:rsid w:val="008439DD"/>
    <w:rsid w:val="00843E47"/>
    <w:rsid w:val="00844889"/>
    <w:rsid w:val="008448D7"/>
    <w:rsid w:val="008453CB"/>
    <w:rsid w:val="00845CC0"/>
    <w:rsid w:val="00845D84"/>
    <w:rsid w:val="00846653"/>
    <w:rsid w:val="00846721"/>
    <w:rsid w:val="00846987"/>
    <w:rsid w:val="00846E95"/>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0B9F"/>
    <w:rsid w:val="0087111E"/>
    <w:rsid w:val="00871403"/>
    <w:rsid w:val="008722C4"/>
    <w:rsid w:val="00873298"/>
    <w:rsid w:val="0087390B"/>
    <w:rsid w:val="00873941"/>
    <w:rsid w:val="00873959"/>
    <w:rsid w:val="00874380"/>
    <w:rsid w:val="00874595"/>
    <w:rsid w:val="00874AEC"/>
    <w:rsid w:val="00875752"/>
    <w:rsid w:val="0087684B"/>
    <w:rsid w:val="0087692F"/>
    <w:rsid w:val="00876EF6"/>
    <w:rsid w:val="00876F74"/>
    <w:rsid w:val="008804CD"/>
    <w:rsid w:val="008806E4"/>
    <w:rsid w:val="008809D5"/>
    <w:rsid w:val="00880DC8"/>
    <w:rsid w:val="00880E4F"/>
    <w:rsid w:val="00882774"/>
    <w:rsid w:val="00883EFD"/>
    <w:rsid w:val="0088483A"/>
    <w:rsid w:val="00884AB6"/>
    <w:rsid w:val="00885DFA"/>
    <w:rsid w:val="00886054"/>
    <w:rsid w:val="00887FA8"/>
    <w:rsid w:val="0089104A"/>
    <w:rsid w:val="00893298"/>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0D8F"/>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DA6"/>
    <w:rsid w:val="008B5EB2"/>
    <w:rsid w:val="008B62B5"/>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604"/>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0C79"/>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22D6"/>
    <w:rsid w:val="00942D96"/>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2C22"/>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6269"/>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26BE"/>
    <w:rsid w:val="009A3385"/>
    <w:rsid w:val="009A39B8"/>
    <w:rsid w:val="009A4F03"/>
    <w:rsid w:val="009A7384"/>
    <w:rsid w:val="009A7A67"/>
    <w:rsid w:val="009B027A"/>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2B"/>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062C"/>
    <w:rsid w:val="009F18DA"/>
    <w:rsid w:val="009F1BC3"/>
    <w:rsid w:val="009F25D0"/>
    <w:rsid w:val="009F3964"/>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452"/>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3A24"/>
    <w:rsid w:val="00A64C07"/>
    <w:rsid w:val="00A64E58"/>
    <w:rsid w:val="00A64E9F"/>
    <w:rsid w:val="00A672A2"/>
    <w:rsid w:val="00A672F0"/>
    <w:rsid w:val="00A673D3"/>
    <w:rsid w:val="00A7135F"/>
    <w:rsid w:val="00A71652"/>
    <w:rsid w:val="00A7168C"/>
    <w:rsid w:val="00A71CA3"/>
    <w:rsid w:val="00A71FC8"/>
    <w:rsid w:val="00A72444"/>
    <w:rsid w:val="00A74196"/>
    <w:rsid w:val="00A74252"/>
    <w:rsid w:val="00A742CB"/>
    <w:rsid w:val="00A74337"/>
    <w:rsid w:val="00A74735"/>
    <w:rsid w:val="00A74974"/>
    <w:rsid w:val="00A7506F"/>
    <w:rsid w:val="00A753C9"/>
    <w:rsid w:val="00A76EAC"/>
    <w:rsid w:val="00A80A9D"/>
    <w:rsid w:val="00A819E1"/>
    <w:rsid w:val="00A820BC"/>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1043"/>
    <w:rsid w:val="00AC2096"/>
    <w:rsid w:val="00AC33D6"/>
    <w:rsid w:val="00AC3991"/>
    <w:rsid w:val="00AC3CFE"/>
    <w:rsid w:val="00AC49CD"/>
    <w:rsid w:val="00AC4A04"/>
    <w:rsid w:val="00AC5600"/>
    <w:rsid w:val="00AC5C52"/>
    <w:rsid w:val="00AC5CD8"/>
    <w:rsid w:val="00AC7546"/>
    <w:rsid w:val="00AC7DF8"/>
    <w:rsid w:val="00AD004E"/>
    <w:rsid w:val="00AD044C"/>
    <w:rsid w:val="00AD0869"/>
    <w:rsid w:val="00AD0898"/>
    <w:rsid w:val="00AD19DE"/>
    <w:rsid w:val="00AD1FE5"/>
    <w:rsid w:val="00AD2492"/>
    <w:rsid w:val="00AD2835"/>
    <w:rsid w:val="00AD2B03"/>
    <w:rsid w:val="00AD2E1B"/>
    <w:rsid w:val="00AD41B9"/>
    <w:rsid w:val="00AD44D3"/>
    <w:rsid w:val="00AD4E30"/>
    <w:rsid w:val="00AD61A8"/>
    <w:rsid w:val="00AD6452"/>
    <w:rsid w:val="00AD652A"/>
    <w:rsid w:val="00AD6E33"/>
    <w:rsid w:val="00AE0377"/>
    <w:rsid w:val="00AE043B"/>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18"/>
    <w:rsid w:val="00B106AA"/>
    <w:rsid w:val="00B10FCB"/>
    <w:rsid w:val="00B12A56"/>
    <w:rsid w:val="00B131B8"/>
    <w:rsid w:val="00B132E1"/>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11C"/>
    <w:rsid w:val="00B33AA4"/>
    <w:rsid w:val="00B33C27"/>
    <w:rsid w:val="00B33CF9"/>
    <w:rsid w:val="00B33D24"/>
    <w:rsid w:val="00B33DD1"/>
    <w:rsid w:val="00B33E26"/>
    <w:rsid w:val="00B3459F"/>
    <w:rsid w:val="00B347CF"/>
    <w:rsid w:val="00B35AC3"/>
    <w:rsid w:val="00B35D04"/>
    <w:rsid w:val="00B36598"/>
    <w:rsid w:val="00B406C0"/>
    <w:rsid w:val="00B4094C"/>
    <w:rsid w:val="00B40F4A"/>
    <w:rsid w:val="00B4168E"/>
    <w:rsid w:val="00B42721"/>
    <w:rsid w:val="00B42DD2"/>
    <w:rsid w:val="00B42FE9"/>
    <w:rsid w:val="00B43911"/>
    <w:rsid w:val="00B43B08"/>
    <w:rsid w:val="00B45243"/>
    <w:rsid w:val="00B4739F"/>
    <w:rsid w:val="00B47797"/>
    <w:rsid w:val="00B47819"/>
    <w:rsid w:val="00B507A1"/>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71C"/>
    <w:rsid w:val="00B73AB5"/>
    <w:rsid w:val="00B7438C"/>
    <w:rsid w:val="00B74AAA"/>
    <w:rsid w:val="00B74FC7"/>
    <w:rsid w:val="00B75B41"/>
    <w:rsid w:val="00B763F6"/>
    <w:rsid w:val="00B76D98"/>
    <w:rsid w:val="00B777FE"/>
    <w:rsid w:val="00B80F98"/>
    <w:rsid w:val="00B81AB9"/>
    <w:rsid w:val="00B82BA7"/>
    <w:rsid w:val="00B82D83"/>
    <w:rsid w:val="00B83154"/>
    <w:rsid w:val="00B832A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5B3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2AC"/>
    <w:rsid w:val="00BA5438"/>
    <w:rsid w:val="00BA5C54"/>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8A"/>
    <w:rsid w:val="00BB7BDE"/>
    <w:rsid w:val="00BB7F02"/>
    <w:rsid w:val="00BC00F9"/>
    <w:rsid w:val="00BC03B9"/>
    <w:rsid w:val="00BC091F"/>
    <w:rsid w:val="00BC097A"/>
    <w:rsid w:val="00BC0C4E"/>
    <w:rsid w:val="00BC159D"/>
    <w:rsid w:val="00BC2429"/>
    <w:rsid w:val="00BC33DB"/>
    <w:rsid w:val="00BC393C"/>
    <w:rsid w:val="00BC3AEF"/>
    <w:rsid w:val="00BC4566"/>
    <w:rsid w:val="00BC6948"/>
    <w:rsid w:val="00BC6EFB"/>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37E"/>
    <w:rsid w:val="00BE5C1E"/>
    <w:rsid w:val="00BE64A0"/>
    <w:rsid w:val="00BE6DE9"/>
    <w:rsid w:val="00BE703B"/>
    <w:rsid w:val="00BF1E3E"/>
    <w:rsid w:val="00BF2130"/>
    <w:rsid w:val="00BF26A7"/>
    <w:rsid w:val="00BF509F"/>
    <w:rsid w:val="00BF556F"/>
    <w:rsid w:val="00BF5CBD"/>
    <w:rsid w:val="00BF648F"/>
    <w:rsid w:val="00BF6968"/>
    <w:rsid w:val="00BF7956"/>
    <w:rsid w:val="00C0041C"/>
    <w:rsid w:val="00C0056C"/>
    <w:rsid w:val="00C01802"/>
    <w:rsid w:val="00C030D9"/>
    <w:rsid w:val="00C031BC"/>
    <w:rsid w:val="00C03518"/>
    <w:rsid w:val="00C03B82"/>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2B6"/>
    <w:rsid w:val="00C4577C"/>
    <w:rsid w:val="00C4579E"/>
    <w:rsid w:val="00C45A05"/>
    <w:rsid w:val="00C4623A"/>
    <w:rsid w:val="00C46F64"/>
    <w:rsid w:val="00C471E3"/>
    <w:rsid w:val="00C475DC"/>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2B8"/>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1A9B"/>
    <w:rsid w:val="00CA2170"/>
    <w:rsid w:val="00CA2C52"/>
    <w:rsid w:val="00CA4855"/>
    <w:rsid w:val="00CA526D"/>
    <w:rsid w:val="00CA5914"/>
    <w:rsid w:val="00CA5D8F"/>
    <w:rsid w:val="00CA648E"/>
    <w:rsid w:val="00CA70BC"/>
    <w:rsid w:val="00CA713F"/>
    <w:rsid w:val="00CA728E"/>
    <w:rsid w:val="00CA748C"/>
    <w:rsid w:val="00CA7B55"/>
    <w:rsid w:val="00CB0C4A"/>
    <w:rsid w:val="00CB16CC"/>
    <w:rsid w:val="00CB199B"/>
    <w:rsid w:val="00CB22AB"/>
    <w:rsid w:val="00CB2C78"/>
    <w:rsid w:val="00CB3989"/>
    <w:rsid w:val="00CB486B"/>
    <w:rsid w:val="00CB4DF7"/>
    <w:rsid w:val="00CB5883"/>
    <w:rsid w:val="00CB59B6"/>
    <w:rsid w:val="00CB59D8"/>
    <w:rsid w:val="00CB5D4C"/>
    <w:rsid w:val="00CB6544"/>
    <w:rsid w:val="00CB7367"/>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26DD"/>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4A"/>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093E"/>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B7E20"/>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1ED7"/>
    <w:rsid w:val="00DD33F7"/>
    <w:rsid w:val="00DD3DF9"/>
    <w:rsid w:val="00DD4105"/>
    <w:rsid w:val="00DD44AA"/>
    <w:rsid w:val="00DD4798"/>
    <w:rsid w:val="00DD502C"/>
    <w:rsid w:val="00DD58FE"/>
    <w:rsid w:val="00DD5D3B"/>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02"/>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8D"/>
    <w:rsid w:val="00E302B0"/>
    <w:rsid w:val="00E3099D"/>
    <w:rsid w:val="00E3134C"/>
    <w:rsid w:val="00E3273E"/>
    <w:rsid w:val="00E32921"/>
    <w:rsid w:val="00E32B41"/>
    <w:rsid w:val="00E33020"/>
    <w:rsid w:val="00E33F90"/>
    <w:rsid w:val="00E3464C"/>
    <w:rsid w:val="00E35462"/>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120"/>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68A"/>
    <w:rsid w:val="00E93CF8"/>
    <w:rsid w:val="00E93D52"/>
    <w:rsid w:val="00E9436D"/>
    <w:rsid w:val="00E94851"/>
    <w:rsid w:val="00E94A62"/>
    <w:rsid w:val="00E9527A"/>
    <w:rsid w:val="00E95933"/>
    <w:rsid w:val="00E96978"/>
    <w:rsid w:val="00E96AEE"/>
    <w:rsid w:val="00E9714D"/>
    <w:rsid w:val="00E9777C"/>
    <w:rsid w:val="00E97ADE"/>
    <w:rsid w:val="00EA0DC8"/>
    <w:rsid w:val="00EA103A"/>
    <w:rsid w:val="00EA1903"/>
    <w:rsid w:val="00EA28F3"/>
    <w:rsid w:val="00EA2B7F"/>
    <w:rsid w:val="00EA3341"/>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7BC"/>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998"/>
    <w:rsid w:val="00EC4DD5"/>
    <w:rsid w:val="00EC5BD1"/>
    <w:rsid w:val="00EC6148"/>
    <w:rsid w:val="00ED08A7"/>
    <w:rsid w:val="00ED0A84"/>
    <w:rsid w:val="00ED0F49"/>
    <w:rsid w:val="00ED0FAC"/>
    <w:rsid w:val="00ED1A31"/>
    <w:rsid w:val="00ED4BDF"/>
    <w:rsid w:val="00ED4F4A"/>
    <w:rsid w:val="00ED516E"/>
    <w:rsid w:val="00ED7B39"/>
    <w:rsid w:val="00ED7C3F"/>
    <w:rsid w:val="00EE14B6"/>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66F0"/>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174FA"/>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210"/>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BF2"/>
    <w:rsid w:val="00F51F06"/>
    <w:rsid w:val="00F52FCD"/>
    <w:rsid w:val="00F53603"/>
    <w:rsid w:val="00F5368D"/>
    <w:rsid w:val="00F53866"/>
    <w:rsid w:val="00F53A75"/>
    <w:rsid w:val="00F53B9F"/>
    <w:rsid w:val="00F53D99"/>
    <w:rsid w:val="00F53ED2"/>
    <w:rsid w:val="00F53FEA"/>
    <w:rsid w:val="00F5521F"/>
    <w:rsid w:val="00F56FB2"/>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7676A"/>
    <w:rsid w:val="00F76B82"/>
    <w:rsid w:val="00F803F5"/>
    <w:rsid w:val="00F80686"/>
    <w:rsid w:val="00F80712"/>
    <w:rsid w:val="00F8114D"/>
    <w:rsid w:val="00F83748"/>
    <w:rsid w:val="00F842F8"/>
    <w:rsid w:val="00F8461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550"/>
    <w:rsid w:val="00FA7DC4"/>
    <w:rsid w:val="00FA7F41"/>
    <w:rsid w:val="00FB08E7"/>
    <w:rsid w:val="00FB1401"/>
    <w:rsid w:val="00FB1598"/>
    <w:rsid w:val="00FB1B6D"/>
    <w:rsid w:val="00FB1F93"/>
    <w:rsid w:val="00FB24F4"/>
    <w:rsid w:val="00FB26E7"/>
    <w:rsid w:val="00FB48C7"/>
    <w:rsid w:val="00FB4E94"/>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5DC3"/>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83F"/>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C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3298"/>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rPr>
      <w:rFonts w:eastAsia="SimSun"/>
    </w:r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rFonts w:eastAsia="SimSun"/>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rFonts w:eastAsia="SimSun"/>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rFonts w:eastAsia="SimSun"/>
      <w:lang w:eastAsia="x-none"/>
    </w:rPr>
  </w:style>
  <w:style w:type="paragraph" w:customStyle="1" w:styleId="FP">
    <w:name w:val="FP"/>
    <w:basedOn w:val="Normal"/>
    <w:rsid w:val="00995174"/>
    <w:rPr>
      <w:rFonts w:eastAsia="SimSun"/>
    </w:r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rFonts w:eastAsia="SimSun"/>
      <w:noProof/>
    </w:rPr>
  </w:style>
  <w:style w:type="paragraph" w:customStyle="1" w:styleId="TH">
    <w:name w:val="TH"/>
    <w:basedOn w:val="Normal"/>
    <w:link w:val="THChar"/>
    <w:qFormat/>
    <w:rsid w:val="00995174"/>
    <w:pPr>
      <w:keepNext/>
      <w:keepLines/>
      <w:spacing w:before="60"/>
      <w:jc w:val="center"/>
    </w:pPr>
    <w:rPr>
      <w:rFonts w:ascii="Arial" w:eastAsia="SimSun"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eastAsia="SimSun"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rPr>
      <w:rFonts w:eastAsia="SimSun"/>
    </w:r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0">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rFonts w:eastAsia="SimSun"/>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rFonts w:eastAsia="SimSun"/>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qFormat/>
    <w:rsid w:val="00A54DD1"/>
    <w:pPr>
      <w:spacing w:after="100" w:afterAutospacing="1"/>
    </w:pPr>
    <w:rPr>
      <w:rFonts w:eastAsia="SimSu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eastAsia="SimSun"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rFonts w:eastAsia="SimSun"/>
      <w:b/>
      <w:i/>
      <w:sz w:val="26"/>
    </w:rPr>
  </w:style>
  <w:style w:type="paragraph" w:customStyle="1" w:styleId="INDENT1">
    <w:name w:val="INDENT1"/>
    <w:basedOn w:val="Normal"/>
    <w:rsid w:val="00F03224"/>
    <w:pPr>
      <w:ind w:left="851"/>
    </w:pPr>
    <w:rPr>
      <w:rFonts w:eastAsia="SimSun"/>
    </w:rPr>
  </w:style>
  <w:style w:type="paragraph" w:customStyle="1" w:styleId="INDENT2">
    <w:name w:val="INDENT2"/>
    <w:basedOn w:val="Normal"/>
    <w:rsid w:val="00F03224"/>
    <w:pPr>
      <w:ind w:left="1135" w:hanging="284"/>
    </w:pPr>
    <w:rPr>
      <w:rFonts w:eastAsia="SimSun"/>
    </w:rPr>
  </w:style>
  <w:style w:type="paragraph" w:customStyle="1" w:styleId="INDENT3">
    <w:name w:val="INDENT3"/>
    <w:basedOn w:val="Normal"/>
    <w:rsid w:val="00F03224"/>
    <w:pPr>
      <w:ind w:left="1701" w:hanging="567"/>
    </w:pPr>
    <w:rPr>
      <w:rFonts w:eastAsia="SimSun"/>
    </w:r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rFonts w:eastAsia="SimSun"/>
      <w:b/>
    </w:rPr>
  </w:style>
  <w:style w:type="paragraph" w:customStyle="1" w:styleId="RecCCITT">
    <w:name w:val="Rec_CCITT_#"/>
    <w:basedOn w:val="Normal"/>
    <w:rsid w:val="00F03224"/>
    <w:pPr>
      <w:keepNext/>
      <w:keepLines/>
    </w:pPr>
    <w:rPr>
      <w:rFonts w:eastAsia="SimSun"/>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F03224"/>
    <w:pPr>
      <w:keepNext/>
      <w:keepLines/>
      <w:spacing w:before="240"/>
      <w:ind w:left="1418"/>
    </w:pPr>
    <w:rPr>
      <w:rFonts w:ascii="Arial" w:eastAsia="SimSun"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eastAsia="SimSun"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eastAsia="SimSun"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rFonts w:eastAsia="SimSun"/>
      <w:i/>
      <w:color w:val="0000FF"/>
    </w:rPr>
  </w:style>
  <w:style w:type="paragraph" w:styleId="CommentText">
    <w:name w:val="annotation text"/>
    <w:basedOn w:val="Normal"/>
    <w:link w:val="CommentTextChar"/>
    <w:semiHidden/>
    <w:rsid w:val="00F03224"/>
    <w:rPr>
      <w:rFonts w:eastAsia="SimSun"/>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rFonts w:eastAsia="SimSun"/>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rFonts w:eastAsia="SimSun"/>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rFonts w:eastAsia="SimSun"/>
      <w:lang w:eastAsia="en-GB"/>
    </w:rPr>
  </w:style>
  <w:style w:type="paragraph" w:styleId="ListNumber4">
    <w:name w:val="List Number 4"/>
    <w:basedOn w:val="Normal"/>
    <w:unhideWhenUsed/>
    <w:rsid w:val="00F03224"/>
    <w:pPr>
      <w:numPr>
        <w:numId w:val="2"/>
      </w:numPr>
      <w:tabs>
        <w:tab w:val="num" w:pos="1209"/>
      </w:tabs>
      <w:ind w:left="1209"/>
    </w:pPr>
    <w:rPr>
      <w:rFonts w:eastAsia="SimSun"/>
      <w:lang w:eastAsia="en-GB"/>
    </w:rPr>
  </w:style>
  <w:style w:type="paragraph" w:styleId="ListNumber5">
    <w:name w:val="List Number 5"/>
    <w:basedOn w:val="Normal"/>
    <w:unhideWhenUsed/>
    <w:rsid w:val="00F03224"/>
    <w:pPr>
      <w:tabs>
        <w:tab w:val="num" w:pos="851"/>
        <w:tab w:val="num" w:pos="1800"/>
      </w:tabs>
      <w:ind w:left="1800" w:hanging="851"/>
    </w:pPr>
    <w:rPr>
      <w:rFonts w:eastAsia="SimSun"/>
      <w:lang w:eastAsia="en-GB"/>
    </w:rPr>
  </w:style>
  <w:style w:type="paragraph" w:styleId="Title">
    <w:name w:val="Title"/>
    <w:basedOn w:val="Normal"/>
    <w:next w:val="Normal"/>
    <w:link w:val="TitleChar"/>
    <w:qFormat/>
    <w:rsid w:val="00F03224"/>
    <w:pPr>
      <w:spacing w:before="240" w:after="60"/>
      <w:outlineLvl w:val="0"/>
    </w:pPr>
    <w:rPr>
      <w:rFonts w:ascii="Courier New" w:eastAsia="SimSun"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rFonts w:eastAsia="SimSun"/>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rFonts w:eastAsia="SimSun"/>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rFonts w:eastAsia="SimSun"/>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0"/>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eastAsia="SimSun"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rFonts w:eastAsia="SimSun"/>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eastAsia="SimSun"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rFonts w:eastAsia="SimSun"/>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eastAsia="SimSun"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hAnsi="Arial" w:cs="Arial"/>
    </w:rPr>
  </w:style>
  <w:style w:type="paragraph" w:customStyle="1" w:styleId="b11">
    <w:name w:val="b1"/>
    <w:basedOn w:val="Normal"/>
    <w:rsid w:val="00F03224"/>
    <w:pPr>
      <w:spacing w:after="100" w:afterAutospacing="1"/>
    </w:pPr>
    <w:rPr>
      <w:rFonts w:eastAsia="SimSun"/>
    </w:rPr>
  </w:style>
  <w:style w:type="paragraph" w:customStyle="1" w:styleId="10">
    <w:name w:val="吹き出し1"/>
    <w:basedOn w:val="Normal"/>
    <w:semiHidden/>
    <w:rsid w:val="00F03224"/>
    <w:rPr>
      <w:rFonts w:ascii="Tahoma" w:eastAsia="SimSun"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eastAsia="SimSun" w:hAnsi="Tahoma" w:cs="Tahoma"/>
      <w:sz w:val="16"/>
      <w:szCs w:val="16"/>
    </w:rPr>
  </w:style>
  <w:style w:type="paragraph" w:customStyle="1" w:styleId="Note">
    <w:name w:val="Note"/>
    <w:basedOn w:val="B10"/>
    <w:rsid w:val="00F03224"/>
    <w:rPr>
      <w:rFonts w:ascii="CG Times (WN)" w:hAnsi="CG Times (WN)"/>
      <w:lang w:eastAsia="en-GB"/>
    </w:rPr>
  </w:style>
  <w:style w:type="paragraph" w:customStyle="1" w:styleId="tabletext0">
    <w:name w:val="table text"/>
    <w:basedOn w:val="Normal"/>
    <w:next w:val="Normal"/>
    <w:rsid w:val="00F03224"/>
    <w:rPr>
      <w:rFonts w:eastAsia="SimSun"/>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rFonts w:eastAsia="SimSun"/>
      <w:b/>
      <w:lang w:eastAsia="en-GB"/>
    </w:rPr>
  </w:style>
  <w:style w:type="paragraph" w:customStyle="1" w:styleId="HE">
    <w:name w:val="HE"/>
    <w:basedOn w:val="Normal"/>
    <w:rsid w:val="00F03224"/>
    <w:rPr>
      <w:rFonts w:eastAsia="SimSun"/>
      <w:b/>
      <w:lang w:eastAsia="en-GB"/>
    </w:rPr>
  </w:style>
  <w:style w:type="paragraph" w:customStyle="1" w:styleId="HO">
    <w:name w:val="HO"/>
    <w:basedOn w:val="Normal"/>
    <w:rsid w:val="00F03224"/>
    <w:pPr>
      <w:jc w:val="right"/>
    </w:pPr>
    <w:rPr>
      <w:rFonts w:eastAsia="SimSun"/>
      <w:b/>
      <w:lang w:eastAsia="en-GB"/>
    </w:rPr>
  </w:style>
  <w:style w:type="paragraph" w:customStyle="1" w:styleId="WP">
    <w:name w:val="WP"/>
    <w:basedOn w:val="Normal"/>
    <w:rsid w:val="00F03224"/>
    <w:pPr>
      <w:jc w:val="both"/>
    </w:pPr>
    <w:rPr>
      <w:rFonts w:eastAsia="SimSun"/>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rFonts w:eastAsia="SimSun"/>
      <w:lang w:eastAsia="en-GB"/>
    </w:rPr>
  </w:style>
  <w:style w:type="paragraph" w:customStyle="1" w:styleId="Para1">
    <w:name w:val="Para1"/>
    <w:basedOn w:val="Normal"/>
    <w:rsid w:val="00F03224"/>
    <w:pPr>
      <w:spacing w:before="120" w:after="120"/>
    </w:pPr>
    <w:rPr>
      <w:rFonts w:eastAsia="SimSun"/>
      <w:lang w:eastAsia="en-GB"/>
    </w:rPr>
  </w:style>
  <w:style w:type="paragraph" w:customStyle="1" w:styleId="Teststep">
    <w:name w:val="Test step"/>
    <w:basedOn w:val="Normal"/>
    <w:rsid w:val="00F03224"/>
    <w:pPr>
      <w:tabs>
        <w:tab w:val="left" w:pos="720"/>
      </w:tabs>
      <w:ind w:left="720" w:hanging="720"/>
    </w:pPr>
    <w:rPr>
      <w:rFonts w:eastAsia="SimSun"/>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rFonts w:eastAsia="SimSun"/>
      <w:b/>
      <w:lang w:eastAsia="en-GB"/>
    </w:rPr>
  </w:style>
  <w:style w:type="paragraph" w:customStyle="1" w:styleId="table">
    <w:name w:val="table"/>
    <w:basedOn w:val="Normal"/>
    <w:next w:val="Normal"/>
    <w:rsid w:val="00F03224"/>
    <w:pPr>
      <w:jc w:val="center"/>
    </w:pPr>
    <w:rPr>
      <w:rFonts w:eastAsia="SimSun"/>
      <w:lang w:eastAsia="en-GB"/>
    </w:rPr>
  </w:style>
  <w:style w:type="paragraph" w:customStyle="1" w:styleId="t2">
    <w:name w:val="t2"/>
    <w:basedOn w:val="Normal"/>
    <w:rsid w:val="00F03224"/>
    <w:rPr>
      <w:rFonts w:eastAsia="SimSun"/>
      <w:lang w:eastAsia="en-GB"/>
    </w:rPr>
  </w:style>
  <w:style w:type="paragraph" w:customStyle="1" w:styleId="CommentNokia">
    <w:name w:val="Comment Nokia"/>
    <w:basedOn w:val="Normal"/>
    <w:rsid w:val="00F03224"/>
    <w:pPr>
      <w:tabs>
        <w:tab w:val="left" w:pos="360"/>
      </w:tabs>
      <w:ind w:left="360" w:hanging="360"/>
    </w:pPr>
    <w:rPr>
      <w:rFonts w:eastAsia="SimSun"/>
      <w:sz w:val="22"/>
      <w:lang w:eastAsia="en-GB"/>
    </w:rPr>
  </w:style>
  <w:style w:type="paragraph" w:customStyle="1" w:styleId="Copyright">
    <w:name w:val="Copyright"/>
    <w:basedOn w:val="Normal"/>
    <w:rsid w:val="00F03224"/>
    <w:pPr>
      <w:jc w:val="center"/>
    </w:pPr>
    <w:rPr>
      <w:rFonts w:ascii="Arial" w:eastAsia="SimSun"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rFonts w:eastAsia="SimSun"/>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rFonts w:eastAsia="SimSun"/>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rPr>
      <w:rFonts w:eastAsia="SimSun"/>
    </w:r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eastAsia="SimSun"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eastAsia="SimSun"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paragraph" w:customStyle="1" w:styleId="B1">
    <w:name w:val="B1+"/>
    <w:basedOn w:val="Normal"/>
    <w:rsid w:val="00351D7D"/>
    <w:pPr>
      <w:numPr>
        <w:numId w:val="54"/>
      </w:numPr>
      <w:spacing w:before="0" w:beforeAutospacing="0"/>
      <w:textAlignment w:val="auto"/>
    </w:pPr>
    <w:rPr>
      <w:rFonts w:eastAsia="SimSun"/>
      <w:lang w:val="en-GB" w:eastAsia="en-US"/>
    </w:rPr>
  </w:style>
  <w:style w:type="character" w:customStyle="1" w:styleId="EQChar">
    <w:name w:val="EQ Char"/>
    <w:link w:val="EQ"/>
    <w:qFormat/>
    <w:locked/>
    <w:rsid w:val="00FC5DC3"/>
    <w:rPr>
      <w:rFonts w:ascii="Times New Roman" w:eastAsia="SimSun" w:hAnsi="Times New Roman"/>
      <w:noProof/>
      <w:sz w:val="24"/>
      <w:szCs w:val="24"/>
    </w:rPr>
  </w:style>
  <w:style w:type="character" w:styleId="UnresolvedMention">
    <w:name w:val="Unresolved Mention"/>
    <w:basedOn w:val="DefaultParagraphFont"/>
    <w:uiPriority w:val="99"/>
    <w:semiHidden/>
    <w:unhideWhenUsed/>
    <w:rsid w:val="005378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8240744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3788123">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484859252">
      <w:bodyDiv w:val="1"/>
      <w:marLeft w:val="0"/>
      <w:marRight w:val="0"/>
      <w:marTop w:val="0"/>
      <w:marBottom w:val="0"/>
      <w:divBdr>
        <w:top w:val="none" w:sz="0" w:space="0" w:color="auto"/>
        <w:left w:val="none" w:sz="0" w:space="0" w:color="auto"/>
        <w:bottom w:val="none" w:sz="0" w:space="0" w:color="auto"/>
        <w:right w:val="none" w:sz="0" w:space="0" w:color="auto"/>
      </w:divBdr>
      <w:divsChild>
        <w:div w:id="1724600560">
          <w:marLeft w:val="0"/>
          <w:marRight w:val="0"/>
          <w:marTop w:val="0"/>
          <w:marBottom w:val="0"/>
          <w:divBdr>
            <w:top w:val="none" w:sz="0" w:space="0" w:color="auto"/>
            <w:left w:val="none" w:sz="0" w:space="0" w:color="auto"/>
            <w:bottom w:val="none" w:sz="0" w:space="0" w:color="auto"/>
            <w:right w:val="none" w:sz="0" w:space="0" w:color="auto"/>
          </w:divBdr>
          <w:divsChild>
            <w:div w:id="1949969807">
              <w:marLeft w:val="0"/>
              <w:marRight w:val="0"/>
              <w:marTop w:val="0"/>
              <w:marBottom w:val="0"/>
              <w:divBdr>
                <w:top w:val="none" w:sz="0" w:space="0" w:color="auto"/>
                <w:left w:val="none" w:sz="0" w:space="0" w:color="auto"/>
                <w:bottom w:val="none" w:sz="0" w:space="0" w:color="auto"/>
                <w:right w:val="none" w:sz="0" w:space="0" w:color="auto"/>
              </w:divBdr>
              <w:divsChild>
                <w:div w:id="1688364763">
                  <w:marLeft w:val="0"/>
                  <w:marRight w:val="0"/>
                  <w:marTop w:val="0"/>
                  <w:marBottom w:val="0"/>
                  <w:divBdr>
                    <w:top w:val="none" w:sz="0" w:space="0" w:color="auto"/>
                    <w:left w:val="none" w:sz="0" w:space="0" w:color="auto"/>
                    <w:bottom w:val="none" w:sz="0" w:space="0" w:color="auto"/>
                    <w:right w:val="none" w:sz="0" w:space="0" w:color="auto"/>
                  </w:divBdr>
                  <w:divsChild>
                    <w:div w:id="206066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3150423">
      <w:bodyDiv w:val="1"/>
      <w:marLeft w:val="0"/>
      <w:marRight w:val="0"/>
      <w:marTop w:val="0"/>
      <w:marBottom w:val="0"/>
      <w:divBdr>
        <w:top w:val="none" w:sz="0" w:space="0" w:color="auto"/>
        <w:left w:val="none" w:sz="0" w:space="0" w:color="auto"/>
        <w:bottom w:val="none" w:sz="0" w:space="0" w:color="auto"/>
        <w:right w:val="none" w:sz="0" w:space="0" w:color="auto"/>
      </w:divBdr>
    </w:div>
    <w:div w:id="63413986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45734463">
      <w:bodyDiv w:val="1"/>
      <w:marLeft w:val="0"/>
      <w:marRight w:val="0"/>
      <w:marTop w:val="0"/>
      <w:marBottom w:val="0"/>
      <w:divBdr>
        <w:top w:val="none" w:sz="0" w:space="0" w:color="auto"/>
        <w:left w:val="none" w:sz="0" w:space="0" w:color="auto"/>
        <w:bottom w:val="none" w:sz="0" w:space="0" w:color="auto"/>
        <w:right w:val="none" w:sz="0" w:space="0" w:color="auto"/>
      </w:divBdr>
    </w:div>
    <w:div w:id="750859749">
      <w:bodyDiv w:val="1"/>
      <w:marLeft w:val="0"/>
      <w:marRight w:val="0"/>
      <w:marTop w:val="0"/>
      <w:marBottom w:val="0"/>
      <w:divBdr>
        <w:top w:val="none" w:sz="0" w:space="0" w:color="auto"/>
        <w:left w:val="none" w:sz="0" w:space="0" w:color="auto"/>
        <w:bottom w:val="none" w:sz="0" w:space="0" w:color="auto"/>
        <w:right w:val="none" w:sz="0" w:space="0" w:color="auto"/>
      </w:divBdr>
    </w:div>
    <w:div w:id="754863173">
      <w:bodyDiv w:val="1"/>
      <w:marLeft w:val="0"/>
      <w:marRight w:val="0"/>
      <w:marTop w:val="0"/>
      <w:marBottom w:val="0"/>
      <w:divBdr>
        <w:top w:val="none" w:sz="0" w:space="0" w:color="auto"/>
        <w:left w:val="none" w:sz="0" w:space="0" w:color="auto"/>
        <w:bottom w:val="none" w:sz="0" w:space="0" w:color="auto"/>
        <w:right w:val="none" w:sz="0" w:space="0" w:color="auto"/>
      </w:divBdr>
    </w:div>
    <w:div w:id="766390052">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1235836">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5973676">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58326">
      <w:bodyDiv w:val="1"/>
      <w:marLeft w:val="0"/>
      <w:marRight w:val="0"/>
      <w:marTop w:val="0"/>
      <w:marBottom w:val="0"/>
      <w:divBdr>
        <w:top w:val="none" w:sz="0" w:space="0" w:color="auto"/>
        <w:left w:val="none" w:sz="0" w:space="0" w:color="auto"/>
        <w:bottom w:val="none" w:sz="0" w:space="0" w:color="auto"/>
        <w:right w:val="none" w:sz="0" w:space="0" w:color="auto"/>
      </w:divBdr>
    </w:div>
    <w:div w:id="928081236">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2923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76249127">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295987849">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2698770">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20778460">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07943740">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2819605">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892422145">
      <w:bodyDiv w:val="1"/>
      <w:marLeft w:val="0"/>
      <w:marRight w:val="0"/>
      <w:marTop w:val="0"/>
      <w:marBottom w:val="0"/>
      <w:divBdr>
        <w:top w:val="none" w:sz="0" w:space="0" w:color="auto"/>
        <w:left w:val="none" w:sz="0" w:space="0" w:color="auto"/>
        <w:bottom w:val="none" w:sz="0" w:space="0" w:color="auto"/>
        <w:right w:val="none" w:sz="0" w:space="0" w:color="auto"/>
      </w:divBdr>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8395527">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64577047">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53034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28354961">
      <w:bodyDiv w:val="1"/>
      <w:marLeft w:val="0"/>
      <w:marRight w:val="0"/>
      <w:marTop w:val="0"/>
      <w:marBottom w:val="0"/>
      <w:divBdr>
        <w:top w:val="none" w:sz="0" w:space="0" w:color="auto"/>
        <w:left w:val="none" w:sz="0" w:space="0" w:color="auto"/>
        <w:bottom w:val="none" w:sz="0" w:space="0" w:color="auto"/>
        <w:right w:val="none" w:sz="0" w:space="0" w:color="auto"/>
      </w:divBdr>
    </w:div>
    <w:div w:id="2135362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4</Pages>
  <Words>1340</Words>
  <Characters>7640</Characters>
  <Application>Microsoft Office Word</Application>
  <DocSecurity>0</DocSecurity>
  <Lines>63</Lines>
  <Paragraphs>17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8963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[Apple_Jerry Cui] </cp:lastModifiedBy>
  <cp:revision>5</cp:revision>
  <cp:lastPrinted>2016-08-05T18:54:00Z</cp:lastPrinted>
  <dcterms:created xsi:type="dcterms:W3CDTF">2025-01-25T19:09:00Z</dcterms:created>
  <dcterms:modified xsi:type="dcterms:W3CDTF">2025-02-07T17:40:00Z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